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DCB" w:rsidRPr="003522C1" w:rsidRDefault="00531DCB" w:rsidP="00910107">
      <w:pPr>
        <w:spacing w:line="360" w:lineRule="auto"/>
        <w:contextualSpacing/>
        <w:jc w:val="both"/>
        <w:rPr>
          <w:rFonts w:ascii="Arial" w:hAnsi="Arial" w:cs="Arial"/>
          <w:sz w:val="24"/>
          <w:szCs w:val="24"/>
          <w:lang w:val="es-AR"/>
        </w:rPr>
      </w:pPr>
      <w:r w:rsidRPr="003522C1">
        <w:rPr>
          <w:rFonts w:ascii="Arial" w:hAnsi="Arial" w:cs="Arial"/>
          <w:noProof/>
          <w:sz w:val="24"/>
          <w:szCs w:val="24"/>
          <w:lang w:val="es-AR" w:eastAsia="es-AR"/>
        </w:rPr>
        <w:drawing>
          <wp:anchor distT="0" distB="0" distL="114300" distR="114300" simplePos="0" relativeHeight="251658240" behindDoc="0" locked="0" layoutInCell="1" allowOverlap="1">
            <wp:simplePos x="0" y="0"/>
            <wp:positionH relativeFrom="column">
              <wp:posOffset>-1734820</wp:posOffset>
            </wp:positionH>
            <wp:positionV relativeFrom="paragraph">
              <wp:posOffset>-1800225</wp:posOffset>
            </wp:positionV>
            <wp:extent cx="7751445" cy="10934700"/>
            <wp:effectExtent l="19050" t="0" r="1905" b="0"/>
            <wp:wrapTopAndBottom/>
            <wp:docPr id="1" name="Imagen 1" descr="G:\ITALIA\Por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TALIA\Portada.jpg"/>
                    <pic:cNvPicPr>
                      <a:picLocks noChangeAspect="1" noChangeArrowheads="1"/>
                    </pic:cNvPicPr>
                  </pic:nvPicPr>
                  <pic:blipFill>
                    <a:blip r:embed="rId8" cstate="print"/>
                    <a:srcRect/>
                    <a:stretch>
                      <a:fillRect/>
                    </a:stretch>
                  </pic:blipFill>
                  <pic:spPr bwMode="auto">
                    <a:xfrm>
                      <a:off x="0" y="0"/>
                      <a:ext cx="7751445" cy="10934700"/>
                    </a:xfrm>
                    <a:prstGeom prst="rect">
                      <a:avLst/>
                    </a:prstGeom>
                    <a:noFill/>
                    <a:ln w="9525">
                      <a:noFill/>
                      <a:miter lim="800000"/>
                      <a:headEnd/>
                      <a:tailEnd/>
                    </a:ln>
                  </pic:spPr>
                </pic:pic>
              </a:graphicData>
            </a:graphic>
          </wp:anchor>
        </w:drawing>
      </w:r>
    </w:p>
    <w:p w:rsidR="00CA4382" w:rsidRPr="003522C1" w:rsidRDefault="0039112A" w:rsidP="00910107">
      <w:pPr>
        <w:spacing w:line="360" w:lineRule="auto"/>
        <w:contextualSpacing/>
        <w:jc w:val="both"/>
        <w:rPr>
          <w:rFonts w:ascii="Arial" w:hAnsi="Arial" w:cs="Arial"/>
          <w:b/>
          <w:sz w:val="24"/>
          <w:szCs w:val="24"/>
          <w:lang w:val="es-AR"/>
        </w:rPr>
      </w:pPr>
      <w:r w:rsidRPr="003522C1">
        <w:rPr>
          <w:rFonts w:ascii="Arial" w:hAnsi="Arial" w:cs="Arial"/>
          <w:b/>
          <w:sz w:val="24"/>
          <w:szCs w:val="24"/>
          <w:lang w:val="es-AR"/>
        </w:rPr>
        <w:lastRenderedPageBreak/>
        <w:t>TEMA:</w:t>
      </w:r>
      <w:r w:rsidR="00CA4382" w:rsidRPr="003522C1">
        <w:rPr>
          <w:rFonts w:ascii="Arial" w:hAnsi="Arial" w:cs="Arial"/>
          <w:b/>
          <w:sz w:val="24"/>
          <w:szCs w:val="24"/>
          <w:lang w:val="es-AR"/>
        </w:rPr>
        <w:t xml:space="preserve"> </w:t>
      </w:r>
    </w:p>
    <w:p w:rsidR="00531DCB" w:rsidRPr="003522C1" w:rsidRDefault="00DB76AC" w:rsidP="00910107">
      <w:pPr>
        <w:spacing w:line="360" w:lineRule="auto"/>
        <w:contextualSpacing/>
        <w:jc w:val="both"/>
        <w:rPr>
          <w:rFonts w:ascii="Arial" w:hAnsi="Arial" w:cs="Arial"/>
          <w:b/>
          <w:sz w:val="24"/>
          <w:szCs w:val="24"/>
          <w:lang w:val="es-AR"/>
        </w:rPr>
      </w:pPr>
      <w:r w:rsidRPr="003522C1">
        <w:rPr>
          <w:rFonts w:ascii="Arial" w:hAnsi="Arial" w:cs="Arial"/>
          <w:b/>
          <w:sz w:val="24"/>
          <w:szCs w:val="24"/>
          <w:lang w:val="es-AR"/>
        </w:rPr>
        <w:t>“EL FALLO FONTEVECCHIA DE LA CSJN - DISPUTA ENTRE INTERPRETES FINALES DESANDANDO CAMINOS”.</w:t>
      </w:r>
    </w:p>
    <w:p w:rsidR="00CA4382" w:rsidRPr="003522C1" w:rsidRDefault="00CA4382" w:rsidP="00910107">
      <w:pPr>
        <w:spacing w:line="360" w:lineRule="auto"/>
        <w:contextualSpacing/>
        <w:jc w:val="both"/>
        <w:rPr>
          <w:rFonts w:ascii="Arial" w:hAnsi="Arial" w:cs="Arial"/>
          <w:b/>
          <w:sz w:val="24"/>
          <w:szCs w:val="24"/>
          <w:lang w:val="es-AR"/>
        </w:rPr>
      </w:pPr>
    </w:p>
    <w:p w:rsidR="00CA4382" w:rsidRPr="003522C1" w:rsidRDefault="00DB76AC" w:rsidP="00910107">
      <w:pPr>
        <w:spacing w:line="360" w:lineRule="auto"/>
        <w:contextualSpacing/>
        <w:jc w:val="both"/>
        <w:rPr>
          <w:rFonts w:ascii="Arial" w:hAnsi="Arial" w:cs="Arial"/>
          <w:b/>
          <w:sz w:val="24"/>
          <w:szCs w:val="24"/>
          <w:lang w:val="es-AR"/>
        </w:rPr>
      </w:pPr>
      <w:r w:rsidRPr="003522C1">
        <w:rPr>
          <w:rFonts w:ascii="Arial" w:hAnsi="Arial" w:cs="Arial"/>
          <w:b/>
          <w:sz w:val="24"/>
          <w:szCs w:val="24"/>
          <w:lang w:val="es-AR"/>
        </w:rPr>
        <w:t xml:space="preserve">AUTORA: </w:t>
      </w:r>
    </w:p>
    <w:p w:rsidR="00DB76AC" w:rsidRPr="003522C1" w:rsidRDefault="00DB76AC" w:rsidP="00910107">
      <w:pPr>
        <w:spacing w:line="360" w:lineRule="auto"/>
        <w:contextualSpacing/>
        <w:jc w:val="both"/>
        <w:rPr>
          <w:rFonts w:ascii="Arial" w:hAnsi="Arial" w:cs="Arial"/>
          <w:b/>
          <w:sz w:val="24"/>
          <w:szCs w:val="24"/>
          <w:lang w:val="es-AR"/>
        </w:rPr>
      </w:pPr>
      <w:r w:rsidRPr="003522C1">
        <w:rPr>
          <w:rFonts w:ascii="Arial" w:hAnsi="Arial" w:cs="Arial"/>
          <w:b/>
          <w:sz w:val="24"/>
          <w:szCs w:val="24"/>
          <w:lang w:val="es-AR"/>
        </w:rPr>
        <w:t xml:space="preserve">DRA. MARIEL ELISABET </w:t>
      </w:r>
      <w:proofErr w:type="gramStart"/>
      <w:r w:rsidRPr="003522C1">
        <w:rPr>
          <w:rFonts w:ascii="Arial" w:hAnsi="Arial" w:cs="Arial"/>
          <w:b/>
          <w:sz w:val="24"/>
          <w:szCs w:val="24"/>
          <w:lang w:val="es-AR"/>
        </w:rPr>
        <w:t>LINARDI</w:t>
      </w:r>
      <w:r w:rsidR="00344E63">
        <w:rPr>
          <w:rFonts w:ascii="Arial" w:hAnsi="Arial" w:cs="Arial"/>
          <w:b/>
          <w:sz w:val="24"/>
          <w:szCs w:val="24"/>
          <w:lang w:val="es-AR"/>
        </w:rPr>
        <w:t>.-</w:t>
      </w:r>
      <w:proofErr w:type="gramEnd"/>
      <w:r w:rsidR="00344E63">
        <w:rPr>
          <w:rFonts w:ascii="Arial" w:hAnsi="Arial" w:cs="Arial"/>
          <w:b/>
          <w:sz w:val="24"/>
          <w:szCs w:val="24"/>
          <w:lang w:val="es-AR"/>
        </w:rPr>
        <w:t>31-05-2017.-</w:t>
      </w:r>
    </w:p>
    <w:p w:rsidR="00DB76AC" w:rsidRPr="003522C1" w:rsidRDefault="00DB76AC" w:rsidP="00910107">
      <w:pPr>
        <w:autoSpaceDE w:val="0"/>
        <w:autoSpaceDN w:val="0"/>
        <w:adjustRightInd w:val="0"/>
        <w:spacing w:after="0" w:line="360" w:lineRule="auto"/>
        <w:jc w:val="both"/>
        <w:rPr>
          <w:rFonts w:ascii="Arial" w:hAnsi="Arial" w:cs="Arial"/>
          <w:b/>
          <w:sz w:val="24"/>
          <w:szCs w:val="24"/>
          <w:lang w:val="es-AR"/>
        </w:rPr>
      </w:pPr>
    </w:p>
    <w:p w:rsidR="005242E6" w:rsidRPr="003522C1" w:rsidRDefault="008E69AC" w:rsidP="00910107">
      <w:pPr>
        <w:autoSpaceDE w:val="0"/>
        <w:autoSpaceDN w:val="0"/>
        <w:adjustRightInd w:val="0"/>
        <w:spacing w:after="0" w:line="360" w:lineRule="auto"/>
        <w:jc w:val="both"/>
        <w:rPr>
          <w:rFonts w:ascii="Arial" w:hAnsi="Arial" w:cs="Arial"/>
          <w:sz w:val="24"/>
          <w:szCs w:val="24"/>
        </w:rPr>
      </w:pPr>
      <w:r w:rsidRPr="003522C1">
        <w:rPr>
          <w:rFonts w:ascii="Arial" w:hAnsi="Arial" w:cs="Arial"/>
          <w:b/>
          <w:sz w:val="24"/>
          <w:szCs w:val="24"/>
          <w:lang w:val="es-AR"/>
        </w:rPr>
        <w:t>SUMARIO:</w:t>
      </w:r>
      <w:r w:rsidR="00D9528E" w:rsidRPr="003522C1">
        <w:rPr>
          <w:rFonts w:ascii="Arial" w:hAnsi="Arial" w:cs="Arial"/>
          <w:sz w:val="24"/>
          <w:szCs w:val="24"/>
          <w:lang w:val="es-AR"/>
        </w:rPr>
        <w:t xml:space="preserve"> </w:t>
      </w:r>
    </w:p>
    <w:p w:rsidR="008E69AC" w:rsidRPr="00EA2CFF" w:rsidRDefault="008E69AC" w:rsidP="00910107">
      <w:pPr>
        <w:spacing w:line="360" w:lineRule="auto"/>
        <w:contextualSpacing/>
        <w:jc w:val="both"/>
        <w:rPr>
          <w:rFonts w:ascii="Arial" w:hAnsi="Arial" w:cs="Arial"/>
          <w:sz w:val="24"/>
          <w:szCs w:val="24"/>
          <w:lang w:val="es-AR"/>
        </w:rPr>
      </w:pPr>
      <w:r w:rsidRPr="003522C1">
        <w:rPr>
          <w:rFonts w:ascii="Arial" w:hAnsi="Arial" w:cs="Arial"/>
          <w:sz w:val="24"/>
          <w:szCs w:val="24"/>
          <w:lang w:val="es-AR"/>
        </w:rPr>
        <w:t>1).-</w:t>
      </w:r>
      <w:r w:rsidR="00D9528E" w:rsidRPr="003522C1">
        <w:rPr>
          <w:rFonts w:ascii="Arial" w:hAnsi="Arial" w:cs="Arial"/>
          <w:sz w:val="24"/>
          <w:szCs w:val="24"/>
          <w:lang w:val="es-AR"/>
        </w:rPr>
        <w:t>Introducción</w:t>
      </w:r>
      <w:r w:rsidRPr="003522C1">
        <w:rPr>
          <w:rFonts w:ascii="Arial" w:hAnsi="Arial" w:cs="Arial"/>
          <w:sz w:val="24"/>
          <w:szCs w:val="24"/>
          <w:lang w:val="es-AR"/>
        </w:rPr>
        <w:t>.- 2).-Resumen del caso FONTEVECCHIA vs. D’ AMICO ante la Corte Interamericana  de Derechos Humanos, y del fallo: “MINIST</w:t>
      </w:r>
      <w:r w:rsidR="00D9528E" w:rsidRPr="003522C1">
        <w:rPr>
          <w:rFonts w:ascii="Arial" w:hAnsi="Arial" w:cs="Arial"/>
          <w:sz w:val="24"/>
          <w:szCs w:val="24"/>
          <w:lang w:val="es-AR"/>
        </w:rPr>
        <w:t>ERIO DE RELACIONES EXTERIORES y CULTO s</w:t>
      </w:r>
      <w:r w:rsidRPr="003522C1">
        <w:rPr>
          <w:rFonts w:ascii="Arial" w:hAnsi="Arial" w:cs="Arial"/>
          <w:sz w:val="24"/>
          <w:szCs w:val="24"/>
          <w:lang w:val="es-AR"/>
        </w:rPr>
        <w:t>/ INFORME SENTENCIA DICTADA POR LA CSJN EN EL CASO “FONTEVECCHIA y D’ AMICO vs. ARGENTINA”.-3</w:t>
      </w:r>
      <w:r w:rsidR="00D9528E" w:rsidRPr="003522C1">
        <w:rPr>
          <w:rFonts w:ascii="Arial" w:hAnsi="Arial" w:cs="Arial"/>
          <w:sz w:val="24"/>
          <w:szCs w:val="24"/>
          <w:lang w:val="es-AR"/>
        </w:rPr>
        <w:t xml:space="preserve">).-Análisis del fallo: </w:t>
      </w:r>
      <w:r w:rsidRPr="003522C1">
        <w:rPr>
          <w:rFonts w:ascii="Arial" w:hAnsi="Arial" w:cs="Arial"/>
          <w:sz w:val="24"/>
          <w:szCs w:val="24"/>
          <w:lang w:val="es-AR"/>
        </w:rPr>
        <w:t>a).-Fundamentos de la posición mayoritaria de la CSJN para no acatar el fallo de la Corte Interamericana</w:t>
      </w:r>
      <w:r w:rsidR="001B4F01" w:rsidRPr="003522C1">
        <w:rPr>
          <w:rFonts w:ascii="Arial" w:hAnsi="Arial" w:cs="Arial"/>
          <w:sz w:val="24"/>
          <w:szCs w:val="24"/>
          <w:lang w:val="es-AR"/>
        </w:rPr>
        <w:t xml:space="preserve"> de Derechos</w:t>
      </w:r>
      <w:r w:rsidRPr="003522C1">
        <w:rPr>
          <w:rFonts w:ascii="Arial" w:hAnsi="Arial" w:cs="Arial"/>
          <w:sz w:val="24"/>
          <w:szCs w:val="24"/>
          <w:lang w:val="es-AR"/>
        </w:rPr>
        <w:t xml:space="preserve"> Humanos.-b).-El control de Convencionalidad en el Sistema Interamericano.  Antecedentes jurisprudenciales. </w:t>
      </w:r>
      <w:proofErr w:type="gramStart"/>
      <w:r w:rsidRPr="003522C1">
        <w:rPr>
          <w:rFonts w:ascii="Arial" w:hAnsi="Arial" w:cs="Arial"/>
          <w:sz w:val="24"/>
          <w:szCs w:val="24"/>
          <w:lang w:val="es-AR"/>
        </w:rPr>
        <w:t>c).-</w:t>
      </w:r>
      <w:proofErr w:type="gramEnd"/>
      <w:r w:rsidRPr="003522C1">
        <w:rPr>
          <w:rFonts w:ascii="Arial" w:hAnsi="Arial" w:cs="Arial"/>
          <w:sz w:val="24"/>
          <w:szCs w:val="24"/>
          <w:lang w:val="es-AR"/>
        </w:rPr>
        <w:t xml:space="preserve">El control </w:t>
      </w:r>
      <w:r w:rsidR="00F15A8A" w:rsidRPr="003522C1">
        <w:rPr>
          <w:rFonts w:ascii="Arial" w:hAnsi="Arial" w:cs="Arial"/>
          <w:sz w:val="24"/>
          <w:szCs w:val="24"/>
          <w:lang w:val="es-AR"/>
        </w:rPr>
        <w:t xml:space="preserve">de </w:t>
      </w:r>
      <w:r w:rsidRPr="003522C1">
        <w:rPr>
          <w:rFonts w:ascii="Arial" w:hAnsi="Arial" w:cs="Arial"/>
          <w:sz w:val="24"/>
          <w:szCs w:val="24"/>
          <w:lang w:val="es-AR"/>
        </w:rPr>
        <w:t>Constitucional</w:t>
      </w:r>
      <w:r w:rsidR="00F15A8A" w:rsidRPr="003522C1">
        <w:rPr>
          <w:rFonts w:ascii="Arial" w:hAnsi="Arial" w:cs="Arial"/>
          <w:sz w:val="24"/>
          <w:szCs w:val="24"/>
          <w:lang w:val="es-AR"/>
        </w:rPr>
        <w:t>idad</w:t>
      </w:r>
      <w:r w:rsidRPr="003522C1">
        <w:rPr>
          <w:rFonts w:ascii="Arial" w:hAnsi="Arial" w:cs="Arial"/>
          <w:sz w:val="24"/>
          <w:szCs w:val="24"/>
          <w:lang w:val="es-AR"/>
        </w:rPr>
        <w:t xml:space="preserve"> </w:t>
      </w:r>
      <w:r w:rsidR="00F15A8A" w:rsidRPr="003522C1">
        <w:rPr>
          <w:rFonts w:ascii="Arial" w:hAnsi="Arial" w:cs="Arial"/>
          <w:sz w:val="24"/>
          <w:szCs w:val="24"/>
          <w:lang w:val="es-AR"/>
        </w:rPr>
        <w:t>en la República Argentina.-d).-</w:t>
      </w:r>
      <w:r w:rsidRPr="003522C1">
        <w:rPr>
          <w:rFonts w:ascii="Arial" w:hAnsi="Arial" w:cs="Arial"/>
          <w:sz w:val="24"/>
          <w:szCs w:val="24"/>
          <w:lang w:val="es-AR"/>
        </w:rPr>
        <w:t xml:space="preserve">“El dialogo interjurisdiccional” como una </w:t>
      </w:r>
      <w:r w:rsidR="00465F61" w:rsidRPr="003522C1">
        <w:rPr>
          <w:rFonts w:ascii="Arial" w:hAnsi="Arial" w:cs="Arial"/>
          <w:sz w:val="24"/>
          <w:szCs w:val="24"/>
          <w:lang w:val="es-AR"/>
        </w:rPr>
        <w:t>propuesta</w:t>
      </w:r>
      <w:r w:rsidR="00BE2A02" w:rsidRPr="003522C1">
        <w:rPr>
          <w:rFonts w:ascii="Arial" w:hAnsi="Arial" w:cs="Arial"/>
          <w:sz w:val="24"/>
          <w:szCs w:val="24"/>
          <w:lang w:val="es-AR"/>
        </w:rPr>
        <w:t xml:space="preserve"> conciliadora </w:t>
      </w:r>
      <w:r w:rsidRPr="003522C1">
        <w:rPr>
          <w:rFonts w:ascii="Arial" w:hAnsi="Arial" w:cs="Arial"/>
          <w:sz w:val="24"/>
          <w:szCs w:val="24"/>
          <w:lang w:val="es-AR"/>
        </w:rPr>
        <w:t xml:space="preserve"> al conflicto por la última palabra.-</w:t>
      </w:r>
      <w:r w:rsidR="00ED7983" w:rsidRPr="003522C1">
        <w:rPr>
          <w:rFonts w:ascii="Arial" w:hAnsi="Arial" w:cs="Arial"/>
          <w:sz w:val="24"/>
          <w:szCs w:val="24"/>
          <w:lang w:val="es-AR"/>
        </w:rPr>
        <w:t>4</w:t>
      </w:r>
      <w:r w:rsidR="008A231F">
        <w:rPr>
          <w:rFonts w:ascii="Arial" w:hAnsi="Arial" w:cs="Arial"/>
          <w:sz w:val="24"/>
          <w:szCs w:val="24"/>
          <w:lang w:val="es-AR"/>
        </w:rPr>
        <w:t>).-La última p</w:t>
      </w:r>
      <w:r w:rsidR="00465F61" w:rsidRPr="003522C1">
        <w:rPr>
          <w:rFonts w:ascii="Arial" w:hAnsi="Arial" w:cs="Arial"/>
          <w:sz w:val="24"/>
          <w:szCs w:val="24"/>
          <w:lang w:val="es-AR"/>
        </w:rPr>
        <w:t>alabra en el sistema Europeo.-5</w:t>
      </w:r>
      <w:r w:rsidR="00BA0EF9" w:rsidRPr="003522C1">
        <w:rPr>
          <w:rFonts w:ascii="Arial" w:hAnsi="Arial" w:cs="Arial"/>
          <w:sz w:val="24"/>
          <w:szCs w:val="24"/>
          <w:lang w:val="es-AR"/>
        </w:rPr>
        <w:t>).-Reflexiones finales</w:t>
      </w:r>
      <w:r w:rsidR="00465F61" w:rsidRPr="003522C1">
        <w:rPr>
          <w:rFonts w:ascii="Arial" w:hAnsi="Arial" w:cs="Arial"/>
          <w:sz w:val="24"/>
          <w:szCs w:val="24"/>
          <w:lang w:val="es-AR"/>
        </w:rPr>
        <w:t>.-6</w:t>
      </w:r>
      <w:r w:rsidRPr="003522C1">
        <w:rPr>
          <w:rFonts w:ascii="Arial" w:hAnsi="Arial" w:cs="Arial"/>
          <w:sz w:val="24"/>
          <w:szCs w:val="24"/>
          <w:lang w:val="es-AR"/>
        </w:rPr>
        <w:t>).-</w:t>
      </w:r>
      <w:r w:rsidR="001B4F01" w:rsidRPr="003522C1">
        <w:rPr>
          <w:rFonts w:ascii="Arial" w:hAnsi="Arial" w:cs="Arial"/>
          <w:sz w:val="24"/>
          <w:szCs w:val="24"/>
          <w:lang w:val="es-AR"/>
        </w:rPr>
        <w:t>Bibliografía</w:t>
      </w:r>
      <w:r w:rsidRPr="003522C1">
        <w:rPr>
          <w:rFonts w:ascii="Arial" w:hAnsi="Arial" w:cs="Arial"/>
          <w:sz w:val="24"/>
          <w:szCs w:val="24"/>
          <w:lang w:val="es-AR"/>
        </w:rPr>
        <w:t>.-</w:t>
      </w:r>
    </w:p>
    <w:p w:rsidR="00EA2CFF" w:rsidRDefault="00EA2CFF" w:rsidP="00910107">
      <w:pPr>
        <w:spacing w:line="360" w:lineRule="auto"/>
        <w:contextualSpacing/>
        <w:jc w:val="both"/>
        <w:rPr>
          <w:rFonts w:ascii="Arial" w:hAnsi="Arial" w:cs="Arial"/>
          <w:sz w:val="24"/>
          <w:szCs w:val="24"/>
          <w:lang w:val="es-AR"/>
        </w:rPr>
      </w:pPr>
    </w:p>
    <w:p w:rsidR="006301E2" w:rsidRPr="003522C1" w:rsidRDefault="00BE2A02" w:rsidP="00910107">
      <w:pPr>
        <w:spacing w:line="360" w:lineRule="auto"/>
        <w:contextualSpacing/>
        <w:jc w:val="both"/>
        <w:rPr>
          <w:rFonts w:ascii="Arial" w:hAnsi="Arial" w:cs="Arial"/>
          <w:b/>
          <w:sz w:val="24"/>
          <w:szCs w:val="24"/>
          <w:lang w:val="es-AR"/>
        </w:rPr>
      </w:pPr>
      <w:r w:rsidRPr="003522C1">
        <w:rPr>
          <w:rFonts w:ascii="Arial" w:hAnsi="Arial" w:cs="Arial"/>
          <w:b/>
          <w:sz w:val="24"/>
          <w:szCs w:val="24"/>
          <w:lang w:val="es-AR"/>
        </w:rPr>
        <w:t>1).-Introducción:</w:t>
      </w:r>
    </w:p>
    <w:p w:rsidR="00763DF8" w:rsidRPr="00E43897" w:rsidRDefault="00C357DC" w:rsidP="00910107">
      <w:pPr>
        <w:spacing w:line="360" w:lineRule="auto"/>
        <w:contextualSpacing/>
        <w:jc w:val="both"/>
        <w:rPr>
          <w:rFonts w:ascii="Arial" w:hAnsi="Arial" w:cs="Arial"/>
          <w:b/>
          <w:sz w:val="24"/>
          <w:szCs w:val="24"/>
          <w:lang w:val="es-AR"/>
        </w:rPr>
      </w:pPr>
      <w:r w:rsidRPr="003522C1">
        <w:rPr>
          <w:rFonts w:ascii="Arial" w:hAnsi="Arial" w:cs="Arial"/>
          <w:sz w:val="24"/>
          <w:szCs w:val="24"/>
          <w:lang w:val="es-AR"/>
        </w:rPr>
        <w:t>El propósito de esta monografía es  abordar el análisis de</w:t>
      </w:r>
      <w:r w:rsidR="006301E2" w:rsidRPr="003522C1">
        <w:rPr>
          <w:rFonts w:ascii="Arial" w:hAnsi="Arial" w:cs="Arial"/>
          <w:sz w:val="24"/>
          <w:szCs w:val="24"/>
          <w:lang w:val="es-AR"/>
        </w:rPr>
        <w:t xml:space="preserve">l fallo </w:t>
      </w:r>
      <w:r w:rsidRPr="003522C1">
        <w:rPr>
          <w:rFonts w:ascii="Arial" w:hAnsi="Arial" w:cs="Arial"/>
          <w:sz w:val="24"/>
          <w:szCs w:val="24"/>
          <w:lang w:val="es-AR"/>
        </w:rPr>
        <w:t xml:space="preserve">dictado </w:t>
      </w:r>
      <w:r w:rsidR="00E26435" w:rsidRPr="003522C1">
        <w:rPr>
          <w:rFonts w:ascii="Arial" w:hAnsi="Arial" w:cs="Arial"/>
          <w:sz w:val="24"/>
          <w:szCs w:val="24"/>
          <w:lang w:val="es-AR"/>
        </w:rPr>
        <w:t xml:space="preserve"> por la  Corte Suprema de Justicia de la Nación</w:t>
      </w:r>
      <w:r w:rsidR="00716431" w:rsidRPr="003522C1">
        <w:rPr>
          <w:rFonts w:ascii="Arial" w:hAnsi="Arial" w:cs="Arial"/>
          <w:sz w:val="24"/>
          <w:szCs w:val="24"/>
          <w:lang w:val="es-AR"/>
        </w:rPr>
        <w:t xml:space="preserve"> de la República</w:t>
      </w:r>
      <w:r w:rsidR="00E26435" w:rsidRPr="003522C1">
        <w:rPr>
          <w:rFonts w:ascii="Arial" w:hAnsi="Arial" w:cs="Arial"/>
          <w:sz w:val="24"/>
          <w:szCs w:val="24"/>
          <w:lang w:val="es-AR"/>
        </w:rPr>
        <w:t xml:space="preserve"> Argentina</w:t>
      </w:r>
      <w:r w:rsidR="006301E2" w:rsidRPr="003522C1">
        <w:rPr>
          <w:rFonts w:ascii="Arial" w:hAnsi="Arial" w:cs="Arial"/>
          <w:sz w:val="24"/>
          <w:szCs w:val="24"/>
          <w:lang w:val="es-AR"/>
        </w:rPr>
        <w:t xml:space="preserve"> </w:t>
      </w:r>
      <w:r w:rsidR="00812292" w:rsidRPr="003522C1">
        <w:rPr>
          <w:rFonts w:ascii="Arial" w:hAnsi="Arial" w:cs="Arial"/>
          <w:sz w:val="24"/>
          <w:szCs w:val="24"/>
          <w:lang w:val="es-AR"/>
        </w:rPr>
        <w:t>en fecha 14 de febrero del año 2017,</w:t>
      </w:r>
      <w:r w:rsidR="00E26435" w:rsidRPr="003522C1">
        <w:rPr>
          <w:rFonts w:ascii="Arial" w:hAnsi="Arial" w:cs="Arial"/>
          <w:sz w:val="24"/>
          <w:szCs w:val="24"/>
          <w:lang w:val="es-AR"/>
        </w:rPr>
        <w:t xml:space="preserve"> en los autos caratulados:</w:t>
      </w:r>
      <w:r w:rsidR="00AD3D90">
        <w:rPr>
          <w:rFonts w:ascii="Arial" w:hAnsi="Arial" w:cs="Arial"/>
          <w:sz w:val="24"/>
          <w:szCs w:val="24"/>
          <w:lang w:val="es-AR"/>
        </w:rPr>
        <w:t xml:space="preserve"> </w:t>
      </w:r>
      <w:r w:rsidR="00E26435" w:rsidRPr="003522C1">
        <w:rPr>
          <w:rFonts w:ascii="Arial" w:hAnsi="Arial" w:cs="Arial"/>
          <w:sz w:val="24"/>
          <w:szCs w:val="24"/>
          <w:lang w:val="es-AR"/>
        </w:rPr>
        <w:t>“MINIS</w:t>
      </w:r>
      <w:r w:rsidR="0064781B" w:rsidRPr="003522C1">
        <w:rPr>
          <w:rFonts w:ascii="Arial" w:hAnsi="Arial" w:cs="Arial"/>
          <w:sz w:val="24"/>
          <w:szCs w:val="24"/>
          <w:lang w:val="es-AR"/>
        </w:rPr>
        <w:t>TERIO DE RELACIONES EXTERIORES y CULTO s</w:t>
      </w:r>
      <w:r w:rsidR="00E26435" w:rsidRPr="003522C1">
        <w:rPr>
          <w:rFonts w:ascii="Arial" w:hAnsi="Arial" w:cs="Arial"/>
          <w:sz w:val="24"/>
          <w:szCs w:val="24"/>
          <w:lang w:val="es-AR"/>
        </w:rPr>
        <w:t>/ INFORME SENTENCIA DICTADA EN EL CASO “FONTEVECCHIA y D’ AMICO vs. ARGENTINA</w:t>
      </w:r>
      <w:r w:rsidR="002B76F4" w:rsidRPr="003522C1">
        <w:rPr>
          <w:rFonts w:ascii="Arial" w:hAnsi="Arial" w:cs="Arial"/>
          <w:sz w:val="24"/>
          <w:szCs w:val="24"/>
          <w:lang w:val="es-AR"/>
        </w:rPr>
        <w:t xml:space="preserve"> </w:t>
      </w:r>
      <w:r w:rsidR="002B76F4" w:rsidRPr="003522C1">
        <w:rPr>
          <w:rFonts w:ascii="Arial" w:hAnsi="Arial" w:cs="Arial"/>
          <w:sz w:val="24"/>
          <w:szCs w:val="24"/>
          <w:lang w:val="es-AR"/>
        </w:rPr>
        <w:lastRenderedPageBreak/>
        <w:t>POR LA CORTE IDH</w:t>
      </w:r>
      <w:r w:rsidR="00E26435" w:rsidRPr="003522C1">
        <w:rPr>
          <w:rFonts w:ascii="Arial" w:hAnsi="Arial" w:cs="Arial"/>
          <w:sz w:val="24"/>
          <w:szCs w:val="24"/>
          <w:lang w:val="es-AR"/>
        </w:rPr>
        <w:t>”</w:t>
      </w:r>
      <w:r w:rsidR="00BA0EF9" w:rsidRPr="003522C1">
        <w:rPr>
          <w:rFonts w:ascii="Arial" w:hAnsi="Arial" w:cs="Arial"/>
          <w:sz w:val="24"/>
          <w:szCs w:val="24"/>
          <w:lang w:val="es-AR"/>
        </w:rPr>
        <w:t xml:space="preserve"> que ha generado un gran</w:t>
      </w:r>
      <w:r w:rsidR="00812292" w:rsidRPr="003522C1">
        <w:rPr>
          <w:rFonts w:ascii="Arial" w:hAnsi="Arial" w:cs="Arial"/>
          <w:sz w:val="24"/>
          <w:szCs w:val="24"/>
          <w:lang w:val="es-AR"/>
        </w:rPr>
        <w:t xml:space="preserve"> y polémico</w:t>
      </w:r>
      <w:r w:rsidR="00BA0EF9" w:rsidRPr="003522C1">
        <w:rPr>
          <w:rFonts w:ascii="Arial" w:hAnsi="Arial" w:cs="Arial"/>
          <w:sz w:val="24"/>
          <w:szCs w:val="24"/>
          <w:lang w:val="es-AR"/>
        </w:rPr>
        <w:t xml:space="preserve"> debate en el ámbito del derecho, en relación a la disputa entre inte</w:t>
      </w:r>
      <w:r w:rsidR="00C52C1B" w:rsidRPr="003522C1">
        <w:rPr>
          <w:rFonts w:ascii="Arial" w:hAnsi="Arial" w:cs="Arial"/>
          <w:sz w:val="24"/>
          <w:szCs w:val="24"/>
          <w:lang w:val="es-AR"/>
        </w:rPr>
        <w:t>rpretes finales la “CORTE IDH” vs.</w:t>
      </w:r>
      <w:r w:rsidR="00BA0EF9" w:rsidRPr="003522C1">
        <w:rPr>
          <w:rFonts w:ascii="Arial" w:hAnsi="Arial" w:cs="Arial"/>
          <w:sz w:val="24"/>
          <w:szCs w:val="24"/>
          <w:lang w:val="es-AR"/>
        </w:rPr>
        <w:t xml:space="preserve"> la “CSJN”  por el  derecho a la última palabra,</w:t>
      </w:r>
      <w:r w:rsidR="00027E94" w:rsidRPr="003522C1">
        <w:rPr>
          <w:rFonts w:ascii="Arial" w:hAnsi="Arial" w:cs="Arial"/>
          <w:sz w:val="24"/>
          <w:szCs w:val="24"/>
          <w:lang w:val="es-AR"/>
        </w:rPr>
        <w:t xml:space="preserve"> </w:t>
      </w:r>
      <w:r w:rsidR="008D04BE" w:rsidRPr="003522C1">
        <w:rPr>
          <w:rFonts w:ascii="Arial" w:hAnsi="Arial" w:cs="Arial"/>
          <w:sz w:val="24"/>
          <w:szCs w:val="24"/>
          <w:lang w:val="es-AR"/>
        </w:rPr>
        <w:t xml:space="preserve">poniendo </w:t>
      </w:r>
      <w:r w:rsidR="009842B1" w:rsidRPr="003522C1">
        <w:rPr>
          <w:rFonts w:ascii="Arial" w:hAnsi="Arial" w:cs="Arial"/>
          <w:sz w:val="24"/>
          <w:szCs w:val="24"/>
          <w:lang w:val="es-AR"/>
        </w:rPr>
        <w:t xml:space="preserve">en crisis </w:t>
      </w:r>
      <w:r w:rsidR="00027E94" w:rsidRPr="003522C1">
        <w:rPr>
          <w:rFonts w:ascii="Arial" w:hAnsi="Arial" w:cs="Arial"/>
          <w:sz w:val="24"/>
          <w:szCs w:val="24"/>
          <w:lang w:val="es-AR"/>
        </w:rPr>
        <w:t xml:space="preserve">esta última </w:t>
      </w:r>
      <w:r w:rsidR="00AB5DCD" w:rsidRPr="003522C1">
        <w:rPr>
          <w:rFonts w:ascii="Arial" w:hAnsi="Arial" w:cs="Arial"/>
          <w:sz w:val="24"/>
          <w:szCs w:val="24"/>
          <w:lang w:val="es-AR"/>
        </w:rPr>
        <w:t>la</w:t>
      </w:r>
      <w:r w:rsidR="008D04BE" w:rsidRPr="003522C1">
        <w:rPr>
          <w:rFonts w:ascii="Arial" w:hAnsi="Arial" w:cs="Arial"/>
          <w:sz w:val="24"/>
          <w:szCs w:val="24"/>
          <w:lang w:val="es-AR"/>
        </w:rPr>
        <w:t xml:space="preserve"> interpretación sobre la</w:t>
      </w:r>
      <w:r w:rsidR="00AB5DCD" w:rsidRPr="003522C1">
        <w:rPr>
          <w:rFonts w:ascii="Arial" w:hAnsi="Arial" w:cs="Arial"/>
          <w:sz w:val="24"/>
          <w:szCs w:val="24"/>
          <w:lang w:val="es-AR"/>
        </w:rPr>
        <w:t xml:space="preserve"> obligatoriedad de los fa</w:t>
      </w:r>
      <w:r w:rsidR="008D04BE" w:rsidRPr="003522C1">
        <w:rPr>
          <w:rFonts w:ascii="Arial" w:hAnsi="Arial" w:cs="Arial"/>
          <w:sz w:val="24"/>
          <w:szCs w:val="24"/>
          <w:lang w:val="es-AR"/>
        </w:rPr>
        <w:t>llos de la Corte</w:t>
      </w:r>
      <w:r w:rsidR="005421C2" w:rsidRPr="003522C1">
        <w:rPr>
          <w:rFonts w:ascii="Arial" w:hAnsi="Arial" w:cs="Arial"/>
          <w:sz w:val="24"/>
          <w:szCs w:val="24"/>
          <w:lang w:val="es-AR"/>
        </w:rPr>
        <w:t xml:space="preserve"> de</w:t>
      </w:r>
      <w:r w:rsidR="00027E94" w:rsidRPr="003522C1">
        <w:rPr>
          <w:rFonts w:ascii="Arial" w:hAnsi="Arial" w:cs="Arial"/>
          <w:sz w:val="24"/>
          <w:szCs w:val="24"/>
          <w:lang w:val="es-AR"/>
        </w:rPr>
        <w:t xml:space="preserve"> San José</w:t>
      </w:r>
      <w:r w:rsidR="00210B4E" w:rsidRPr="003522C1">
        <w:rPr>
          <w:rFonts w:ascii="Arial" w:hAnsi="Arial" w:cs="Arial"/>
          <w:b/>
          <w:sz w:val="24"/>
          <w:szCs w:val="24"/>
          <w:lang w:val="es-AR"/>
        </w:rPr>
        <w:t>,</w:t>
      </w:r>
      <w:r w:rsidR="0024405B" w:rsidRPr="003522C1">
        <w:rPr>
          <w:rFonts w:ascii="Arial" w:hAnsi="Arial" w:cs="Arial"/>
          <w:b/>
          <w:sz w:val="24"/>
          <w:szCs w:val="24"/>
          <w:lang w:val="es-AR"/>
        </w:rPr>
        <w:t xml:space="preserve"> </w:t>
      </w:r>
      <w:r w:rsidR="00E43897" w:rsidRPr="00E43897">
        <w:rPr>
          <w:rFonts w:ascii="Arial" w:hAnsi="Arial" w:cs="Arial"/>
          <w:sz w:val="24"/>
          <w:szCs w:val="24"/>
          <w:lang w:val="es-AR"/>
        </w:rPr>
        <w:t>por lo que se</w:t>
      </w:r>
      <w:r w:rsidR="00E43897">
        <w:rPr>
          <w:rFonts w:ascii="Arial" w:hAnsi="Arial" w:cs="Arial"/>
          <w:b/>
          <w:sz w:val="24"/>
          <w:szCs w:val="24"/>
          <w:lang w:val="es-AR"/>
        </w:rPr>
        <w:t xml:space="preserve"> </w:t>
      </w:r>
      <w:r w:rsidR="00E43897">
        <w:rPr>
          <w:rFonts w:ascii="Arial" w:hAnsi="Arial" w:cs="Arial"/>
          <w:sz w:val="24"/>
          <w:szCs w:val="24"/>
          <w:lang w:val="es-AR"/>
        </w:rPr>
        <w:t>propone en este trabajo</w:t>
      </w:r>
      <w:r w:rsidR="0024405B" w:rsidRPr="003522C1">
        <w:rPr>
          <w:rFonts w:ascii="Arial" w:hAnsi="Arial" w:cs="Arial"/>
          <w:sz w:val="24"/>
          <w:szCs w:val="24"/>
          <w:lang w:val="es-AR"/>
        </w:rPr>
        <w:t xml:space="preserve"> </w:t>
      </w:r>
      <w:r w:rsidR="00E43897">
        <w:rPr>
          <w:rFonts w:ascii="Arial" w:hAnsi="Arial" w:cs="Arial"/>
          <w:sz w:val="24"/>
          <w:szCs w:val="24"/>
          <w:lang w:val="es-AR"/>
        </w:rPr>
        <w:t>“</w:t>
      </w:r>
      <w:r w:rsidR="0024405B" w:rsidRPr="003522C1">
        <w:rPr>
          <w:rFonts w:ascii="Arial" w:hAnsi="Arial" w:cs="Arial"/>
          <w:sz w:val="24"/>
          <w:szCs w:val="24"/>
          <w:lang w:val="es-AR"/>
        </w:rPr>
        <w:t>el diálogo interjurisdiccional</w:t>
      </w:r>
      <w:r w:rsidR="00E43897">
        <w:rPr>
          <w:rFonts w:ascii="Arial" w:hAnsi="Arial" w:cs="Arial"/>
          <w:sz w:val="24"/>
          <w:szCs w:val="24"/>
          <w:lang w:val="es-AR"/>
        </w:rPr>
        <w:t>”</w:t>
      </w:r>
      <w:r w:rsidR="0024405B" w:rsidRPr="003522C1">
        <w:rPr>
          <w:rFonts w:ascii="Arial" w:hAnsi="Arial" w:cs="Arial"/>
          <w:sz w:val="24"/>
          <w:szCs w:val="24"/>
          <w:lang w:val="es-AR"/>
        </w:rPr>
        <w:t xml:space="preserve"> como una</w:t>
      </w:r>
      <w:r w:rsidR="00E43897">
        <w:rPr>
          <w:rFonts w:ascii="Arial" w:hAnsi="Arial" w:cs="Arial"/>
          <w:sz w:val="24"/>
          <w:szCs w:val="24"/>
          <w:lang w:val="es-AR"/>
        </w:rPr>
        <w:t xml:space="preserve"> posible</w:t>
      </w:r>
      <w:r w:rsidR="0024405B" w:rsidRPr="003522C1">
        <w:rPr>
          <w:rFonts w:ascii="Arial" w:hAnsi="Arial" w:cs="Arial"/>
          <w:sz w:val="24"/>
          <w:szCs w:val="24"/>
          <w:lang w:val="es-AR"/>
        </w:rPr>
        <w:t xml:space="preserve"> solución superadora del conflicto,</w:t>
      </w:r>
      <w:r w:rsidR="00027E94" w:rsidRPr="003522C1">
        <w:rPr>
          <w:rFonts w:ascii="Arial" w:hAnsi="Arial" w:cs="Arial"/>
          <w:b/>
          <w:sz w:val="24"/>
          <w:szCs w:val="24"/>
          <w:lang w:val="es-AR"/>
        </w:rPr>
        <w:t xml:space="preserve"> </w:t>
      </w:r>
      <w:r w:rsidR="00210B4E" w:rsidRPr="003522C1">
        <w:rPr>
          <w:rFonts w:ascii="Arial" w:hAnsi="Arial" w:cs="Arial"/>
          <w:sz w:val="24"/>
          <w:szCs w:val="24"/>
          <w:lang w:val="es-AR"/>
        </w:rPr>
        <w:t>temática abordada</w:t>
      </w:r>
      <w:r w:rsidR="00E26435" w:rsidRPr="003522C1">
        <w:rPr>
          <w:rFonts w:ascii="Arial" w:hAnsi="Arial" w:cs="Arial"/>
          <w:sz w:val="24"/>
          <w:szCs w:val="24"/>
          <w:lang w:val="es-AR"/>
        </w:rPr>
        <w:t xml:space="preserve"> en el Curso de Actualización sobre la Protección Supran</w:t>
      </w:r>
      <w:r w:rsidR="00812292" w:rsidRPr="003522C1">
        <w:rPr>
          <w:rFonts w:ascii="Arial" w:hAnsi="Arial" w:cs="Arial"/>
          <w:sz w:val="24"/>
          <w:szCs w:val="24"/>
          <w:lang w:val="es-AR"/>
        </w:rPr>
        <w:t>acional de los Derechos Humanos en Perugia, Italia.</w:t>
      </w:r>
    </w:p>
    <w:p w:rsidR="00BA0EF9" w:rsidRPr="003522C1" w:rsidRDefault="00BA0EF9" w:rsidP="00910107">
      <w:pPr>
        <w:spacing w:line="360" w:lineRule="auto"/>
        <w:contextualSpacing/>
        <w:jc w:val="both"/>
        <w:rPr>
          <w:rFonts w:ascii="Arial" w:hAnsi="Arial" w:cs="Arial"/>
          <w:sz w:val="24"/>
          <w:szCs w:val="24"/>
          <w:lang w:val="es-AR"/>
        </w:rPr>
      </w:pPr>
    </w:p>
    <w:p w:rsidR="00407787" w:rsidRPr="003522C1" w:rsidRDefault="00070960" w:rsidP="00910107">
      <w:pPr>
        <w:spacing w:line="360" w:lineRule="auto"/>
        <w:jc w:val="both"/>
        <w:rPr>
          <w:rFonts w:ascii="Arial" w:hAnsi="Arial" w:cs="Arial"/>
          <w:b/>
          <w:sz w:val="24"/>
          <w:szCs w:val="24"/>
          <w:u w:val="single"/>
          <w:lang w:val="es-AR"/>
        </w:rPr>
      </w:pPr>
      <w:r w:rsidRPr="003522C1">
        <w:rPr>
          <w:rFonts w:ascii="Arial" w:hAnsi="Arial" w:cs="Arial"/>
          <w:b/>
          <w:sz w:val="24"/>
          <w:szCs w:val="24"/>
          <w:u w:val="single"/>
          <w:lang w:val="es-AR"/>
        </w:rPr>
        <w:t>2</w:t>
      </w:r>
      <w:r w:rsidR="00763DF8" w:rsidRPr="003522C1">
        <w:rPr>
          <w:rFonts w:ascii="Arial" w:hAnsi="Arial" w:cs="Arial"/>
          <w:b/>
          <w:sz w:val="24"/>
          <w:szCs w:val="24"/>
          <w:u w:val="single"/>
          <w:lang w:val="es-AR"/>
        </w:rPr>
        <w:t>)</w:t>
      </w:r>
      <w:r w:rsidR="00DF3B68" w:rsidRPr="003522C1">
        <w:rPr>
          <w:rFonts w:ascii="Arial" w:hAnsi="Arial" w:cs="Arial"/>
          <w:b/>
          <w:sz w:val="24"/>
          <w:szCs w:val="24"/>
          <w:u w:val="single"/>
          <w:lang w:val="es-AR"/>
        </w:rPr>
        <w:t>.-</w:t>
      </w:r>
      <w:r w:rsidR="00E85226" w:rsidRPr="003522C1">
        <w:rPr>
          <w:rFonts w:ascii="Arial" w:hAnsi="Arial" w:cs="Arial"/>
          <w:b/>
          <w:sz w:val="24"/>
          <w:szCs w:val="24"/>
          <w:u w:val="single"/>
          <w:lang w:val="es-AR"/>
        </w:rPr>
        <w:t xml:space="preserve">Resumen del caso </w:t>
      </w:r>
      <w:r w:rsidR="00716431" w:rsidRPr="003522C1">
        <w:rPr>
          <w:rFonts w:ascii="Arial" w:hAnsi="Arial" w:cs="Arial"/>
          <w:b/>
          <w:sz w:val="24"/>
          <w:szCs w:val="24"/>
          <w:u w:val="single"/>
          <w:lang w:val="es-AR"/>
        </w:rPr>
        <w:t>“FONTEVECCHIA y D’ AMICO vs. ARGENTINA” sustanciado ante la CIDH</w:t>
      </w:r>
      <w:r w:rsidR="00D36E43" w:rsidRPr="003522C1">
        <w:rPr>
          <w:rFonts w:ascii="Arial" w:hAnsi="Arial" w:cs="Arial"/>
          <w:b/>
          <w:sz w:val="24"/>
          <w:szCs w:val="24"/>
          <w:u w:val="single"/>
          <w:lang w:val="es-AR"/>
        </w:rPr>
        <w:t xml:space="preserve"> y su fallo</w:t>
      </w:r>
      <w:r w:rsidR="00E85226" w:rsidRPr="003522C1">
        <w:rPr>
          <w:rFonts w:ascii="Arial" w:hAnsi="Arial" w:cs="Arial"/>
          <w:b/>
          <w:sz w:val="24"/>
          <w:szCs w:val="24"/>
          <w:u w:val="single"/>
          <w:lang w:val="es-AR"/>
        </w:rPr>
        <w:t>:</w:t>
      </w:r>
      <w:r w:rsidR="00716431" w:rsidRPr="003522C1">
        <w:rPr>
          <w:rFonts w:ascii="Arial" w:hAnsi="Arial" w:cs="Arial"/>
          <w:b/>
          <w:sz w:val="24"/>
          <w:szCs w:val="24"/>
          <w:u w:val="single"/>
          <w:lang w:val="es-AR"/>
        </w:rPr>
        <w:t xml:space="preserve">  </w:t>
      </w:r>
    </w:p>
    <w:p w:rsidR="00BE5AB3" w:rsidRPr="003522C1" w:rsidRDefault="00890BCB" w:rsidP="00910107">
      <w:pPr>
        <w:spacing w:line="360" w:lineRule="auto"/>
        <w:jc w:val="both"/>
        <w:rPr>
          <w:rFonts w:ascii="Arial" w:hAnsi="Arial" w:cs="Arial"/>
          <w:b/>
          <w:sz w:val="24"/>
          <w:szCs w:val="24"/>
        </w:rPr>
      </w:pPr>
      <w:r w:rsidRPr="003522C1">
        <w:rPr>
          <w:rFonts w:ascii="Arial" w:hAnsi="Arial" w:cs="Arial"/>
          <w:b/>
          <w:sz w:val="24"/>
          <w:szCs w:val="24"/>
        </w:rPr>
        <w:t>DESARROLLO DE</w:t>
      </w:r>
      <w:r w:rsidR="0010495E" w:rsidRPr="003522C1">
        <w:rPr>
          <w:rFonts w:ascii="Arial" w:hAnsi="Arial" w:cs="Arial"/>
          <w:b/>
          <w:sz w:val="24"/>
          <w:szCs w:val="24"/>
        </w:rPr>
        <w:t>L CASO:</w:t>
      </w:r>
      <w:r w:rsidR="00E85226" w:rsidRPr="003522C1">
        <w:rPr>
          <w:rFonts w:ascii="Arial" w:hAnsi="Arial" w:cs="Arial"/>
          <w:b/>
          <w:sz w:val="24"/>
          <w:szCs w:val="24"/>
        </w:rPr>
        <w:t xml:space="preserve"> </w:t>
      </w:r>
    </w:p>
    <w:p w:rsidR="00EA2CFF" w:rsidRDefault="00890BCB" w:rsidP="00910107">
      <w:pPr>
        <w:spacing w:line="360" w:lineRule="auto"/>
        <w:jc w:val="both"/>
        <w:rPr>
          <w:rFonts w:ascii="Arial" w:hAnsi="Arial" w:cs="Arial"/>
          <w:sz w:val="24"/>
          <w:szCs w:val="24"/>
        </w:rPr>
      </w:pPr>
      <w:r w:rsidRPr="003522C1">
        <w:rPr>
          <w:rFonts w:ascii="Arial" w:hAnsi="Arial" w:cs="Arial"/>
          <w:sz w:val="24"/>
          <w:szCs w:val="24"/>
        </w:rPr>
        <w:t xml:space="preserve">Los hechos del presente caso se relacionan con dos publicaciones consignadas en una revista el 5 y 12 de noviembre de 1995, donde se vinculaba al entonces </w:t>
      </w:r>
      <w:proofErr w:type="gramStart"/>
      <w:r w:rsidRPr="003522C1">
        <w:rPr>
          <w:rFonts w:ascii="Arial" w:hAnsi="Arial" w:cs="Arial"/>
          <w:sz w:val="24"/>
          <w:szCs w:val="24"/>
        </w:rPr>
        <w:t>Presidente</w:t>
      </w:r>
      <w:proofErr w:type="gramEnd"/>
      <w:r w:rsidRPr="003522C1">
        <w:rPr>
          <w:rFonts w:ascii="Arial" w:hAnsi="Arial" w:cs="Arial"/>
          <w:sz w:val="24"/>
          <w:szCs w:val="24"/>
        </w:rPr>
        <w:t xml:space="preserve"> de Argentina, Carlos Menem, con la existencia de un presunto hijo no reconocido por él. Jorge </w:t>
      </w:r>
      <w:proofErr w:type="spellStart"/>
      <w:r w:rsidRPr="003522C1">
        <w:rPr>
          <w:rFonts w:ascii="Arial" w:hAnsi="Arial" w:cs="Arial"/>
          <w:sz w:val="24"/>
          <w:szCs w:val="24"/>
        </w:rPr>
        <w:t>Fontevecchia</w:t>
      </w:r>
      <w:proofErr w:type="spellEnd"/>
      <w:r w:rsidRPr="003522C1">
        <w:rPr>
          <w:rFonts w:ascii="Arial" w:hAnsi="Arial" w:cs="Arial"/>
          <w:sz w:val="24"/>
          <w:szCs w:val="24"/>
        </w:rPr>
        <w:t xml:space="preserve"> y </w:t>
      </w:r>
      <w:r w:rsidR="008A231F" w:rsidRPr="003522C1">
        <w:rPr>
          <w:rFonts w:ascii="Arial" w:hAnsi="Arial" w:cs="Arial"/>
          <w:sz w:val="24"/>
          <w:szCs w:val="24"/>
        </w:rPr>
        <w:t>Héctor</w:t>
      </w:r>
      <w:r w:rsidR="00E017B8" w:rsidRPr="003522C1">
        <w:rPr>
          <w:rFonts w:ascii="Arial" w:hAnsi="Arial" w:cs="Arial"/>
          <w:sz w:val="24"/>
          <w:szCs w:val="24"/>
        </w:rPr>
        <w:t xml:space="preserve"> </w:t>
      </w:r>
      <w:proofErr w:type="spellStart"/>
      <w:r w:rsidRPr="003522C1">
        <w:rPr>
          <w:rFonts w:ascii="Arial" w:hAnsi="Arial" w:cs="Arial"/>
          <w:sz w:val="24"/>
          <w:szCs w:val="24"/>
        </w:rPr>
        <w:t>D’Amico</w:t>
      </w:r>
      <w:proofErr w:type="spellEnd"/>
      <w:r w:rsidRPr="003522C1">
        <w:rPr>
          <w:rFonts w:ascii="Arial" w:hAnsi="Arial" w:cs="Arial"/>
          <w:sz w:val="24"/>
          <w:szCs w:val="24"/>
        </w:rPr>
        <w:t xml:space="preserve"> son periodistas que se desempeñaban como editores en dicha revista. - El señor Menem demandó civilmente a la editorial de la </w:t>
      </w:r>
      <w:proofErr w:type="gramStart"/>
      <w:r w:rsidRPr="003522C1">
        <w:rPr>
          <w:rFonts w:ascii="Arial" w:hAnsi="Arial" w:cs="Arial"/>
          <w:sz w:val="24"/>
          <w:szCs w:val="24"/>
        </w:rPr>
        <w:t>revista</w:t>
      </w:r>
      <w:proofErr w:type="gramEnd"/>
      <w:r w:rsidRPr="003522C1">
        <w:rPr>
          <w:rFonts w:ascii="Arial" w:hAnsi="Arial" w:cs="Arial"/>
          <w:sz w:val="24"/>
          <w:szCs w:val="24"/>
        </w:rPr>
        <w:t xml:space="preserve"> así como a Jorge </w:t>
      </w:r>
      <w:proofErr w:type="spellStart"/>
      <w:r w:rsidRPr="003522C1">
        <w:rPr>
          <w:rFonts w:ascii="Arial" w:hAnsi="Arial" w:cs="Arial"/>
          <w:sz w:val="24"/>
          <w:szCs w:val="24"/>
        </w:rPr>
        <w:t>Fontevecchia</w:t>
      </w:r>
      <w:proofErr w:type="spellEnd"/>
      <w:r w:rsidRPr="003522C1">
        <w:rPr>
          <w:rFonts w:ascii="Arial" w:hAnsi="Arial" w:cs="Arial"/>
          <w:sz w:val="24"/>
          <w:szCs w:val="24"/>
        </w:rPr>
        <w:t xml:space="preserve"> y </w:t>
      </w:r>
      <w:r w:rsidR="008A231F" w:rsidRPr="003522C1">
        <w:rPr>
          <w:rFonts w:ascii="Arial" w:hAnsi="Arial" w:cs="Arial"/>
          <w:sz w:val="24"/>
          <w:szCs w:val="24"/>
        </w:rPr>
        <w:t>Héctor</w:t>
      </w:r>
      <w:r w:rsidR="008A231F">
        <w:rPr>
          <w:rFonts w:ascii="Arial" w:hAnsi="Arial" w:cs="Arial"/>
          <w:sz w:val="24"/>
          <w:szCs w:val="24"/>
        </w:rPr>
        <w:t xml:space="preserve"> </w:t>
      </w:r>
      <w:proofErr w:type="spellStart"/>
      <w:r w:rsidRPr="003522C1">
        <w:rPr>
          <w:rFonts w:ascii="Arial" w:hAnsi="Arial" w:cs="Arial"/>
          <w:sz w:val="24"/>
          <w:szCs w:val="24"/>
        </w:rPr>
        <w:t>D’Amico</w:t>
      </w:r>
      <w:proofErr w:type="spellEnd"/>
      <w:r w:rsidRPr="003522C1">
        <w:rPr>
          <w:rFonts w:ascii="Arial" w:hAnsi="Arial" w:cs="Arial"/>
          <w:sz w:val="24"/>
          <w:szCs w:val="24"/>
        </w:rPr>
        <w:t xml:space="preserve">. El objeto de dicha acción era obtener un resarcimiento económico por el alegado daño moral causado por la supuesta violación del derecho a la intimidad, consecuencia de las publicaciones de la revista. Adicionalmente, se solicitó la publicación íntegra de la sentencia a cargo de los demandados. </w:t>
      </w:r>
    </w:p>
    <w:p w:rsidR="00BE5AB3" w:rsidRPr="003522C1" w:rsidRDefault="00890BCB" w:rsidP="00910107">
      <w:pPr>
        <w:spacing w:line="360" w:lineRule="auto"/>
        <w:jc w:val="both"/>
        <w:rPr>
          <w:rFonts w:ascii="Arial" w:hAnsi="Arial" w:cs="Arial"/>
          <w:sz w:val="24"/>
          <w:szCs w:val="24"/>
        </w:rPr>
      </w:pPr>
      <w:r w:rsidRPr="003522C1">
        <w:rPr>
          <w:rFonts w:ascii="Arial" w:hAnsi="Arial" w:cs="Arial"/>
          <w:sz w:val="24"/>
          <w:szCs w:val="24"/>
        </w:rPr>
        <w:t xml:space="preserve">En 1997 un juez de primera instancia en lo civil rechazó la demanda interpuesta por el señor Menem. La sentencia fue apelada y en 1998, la Cámara Nacional de Apelaciones en lo Civil de la Capital Federal revirtió la </w:t>
      </w:r>
      <w:r w:rsidRPr="003522C1">
        <w:rPr>
          <w:rFonts w:ascii="Arial" w:hAnsi="Arial" w:cs="Arial"/>
          <w:sz w:val="24"/>
          <w:szCs w:val="24"/>
        </w:rPr>
        <w:lastRenderedPageBreak/>
        <w:t xml:space="preserve">decisión y condenó a la editorial y a Jorge </w:t>
      </w:r>
      <w:proofErr w:type="spellStart"/>
      <w:r w:rsidRPr="003522C1">
        <w:rPr>
          <w:rFonts w:ascii="Arial" w:hAnsi="Arial" w:cs="Arial"/>
          <w:sz w:val="24"/>
          <w:szCs w:val="24"/>
        </w:rPr>
        <w:t>Fontevecchia</w:t>
      </w:r>
      <w:proofErr w:type="spellEnd"/>
      <w:r w:rsidRPr="003522C1">
        <w:rPr>
          <w:rFonts w:ascii="Arial" w:hAnsi="Arial" w:cs="Arial"/>
          <w:sz w:val="24"/>
          <w:szCs w:val="24"/>
        </w:rPr>
        <w:t xml:space="preserve"> y </w:t>
      </w:r>
      <w:r w:rsidR="008A231F" w:rsidRPr="003522C1">
        <w:rPr>
          <w:rFonts w:ascii="Arial" w:hAnsi="Arial" w:cs="Arial"/>
          <w:sz w:val="24"/>
          <w:szCs w:val="24"/>
        </w:rPr>
        <w:t>Héctor</w:t>
      </w:r>
      <w:r w:rsidR="00E017B8" w:rsidRPr="003522C1">
        <w:rPr>
          <w:rFonts w:ascii="Arial" w:hAnsi="Arial" w:cs="Arial"/>
          <w:sz w:val="24"/>
          <w:szCs w:val="24"/>
        </w:rPr>
        <w:t xml:space="preserve"> </w:t>
      </w:r>
      <w:proofErr w:type="spellStart"/>
      <w:r w:rsidRPr="003522C1">
        <w:rPr>
          <w:rFonts w:ascii="Arial" w:hAnsi="Arial" w:cs="Arial"/>
          <w:sz w:val="24"/>
          <w:szCs w:val="24"/>
        </w:rPr>
        <w:t>D’Amico</w:t>
      </w:r>
      <w:proofErr w:type="spellEnd"/>
      <w:r w:rsidRPr="003522C1">
        <w:rPr>
          <w:rFonts w:ascii="Arial" w:hAnsi="Arial" w:cs="Arial"/>
          <w:sz w:val="24"/>
          <w:szCs w:val="24"/>
        </w:rPr>
        <w:t xml:space="preserve"> a pagar la </w:t>
      </w:r>
      <w:proofErr w:type="gramStart"/>
      <w:r w:rsidRPr="003522C1">
        <w:rPr>
          <w:rFonts w:ascii="Arial" w:hAnsi="Arial" w:cs="Arial"/>
          <w:sz w:val="24"/>
          <w:szCs w:val="24"/>
        </w:rPr>
        <w:t>suma  de</w:t>
      </w:r>
      <w:proofErr w:type="gramEnd"/>
      <w:r w:rsidRPr="003522C1">
        <w:rPr>
          <w:rFonts w:ascii="Arial" w:hAnsi="Arial" w:cs="Arial"/>
          <w:sz w:val="24"/>
          <w:szCs w:val="24"/>
        </w:rPr>
        <w:t xml:space="preserve"> $150.000,00. Los demandados interpusieron un recurso extraordinario federal. En el año 2001 la Corte Suprema confirmó la sentencia </w:t>
      </w:r>
      <w:proofErr w:type="gramStart"/>
      <w:r w:rsidRPr="003522C1">
        <w:rPr>
          <w:rFonts w:ascii="Arial" w:hAnsi="Arial" w:cs="Arial"/>
          <w:sz w:val="24"/>
          <w:szCs w:val="24"/>
        </w:rPr>
        <w:t>recurrida</w:t>
      </w:r>
      <w:proofErr w:type="gramEnd"/>
      <w:r w:rsidRPr="003522C1">
        <w:rPr>
          <w:rFonts w:ascii="Arial" w:hAnsi="Arial" w:cs="Arial"/>
          <w:sz w:val="24"/>
          <w:szCs w:val="24"/>
        </w:rPr>
        <w:t xml:space="preserve"> aunque modificó el monto indemnizatorio, reduciéndolo a la suma de $60.000,00. </w:t>
      </w:r>
    </w:p>
    <w:p w:rsidR="00BE5AB3" w:rsidRPr="003522C1" w:rsidRDefault="00C52C1B" w:rsidP="00910107">
      <w:pPr>
        <w:spacing w:line="360" w:lineRule="auto"/>
        <w:jc w:val="both"/>
        <w:rPr>
          <w:rFonts w:ascii="Arial" w:hAnsi="Arial" w:cs="Arial"/>
          <w:b/>
          <w:sz w:val="24"/>
          <w:szCs w:val="24"/>
        </w:rPr>
      </w:pPr>
      <w:r w:rsidRPr="003522C1">
        <w:rPr>
          <w:rFonts w:ascii="Arial" w:hAnsi="Arial" w:cs="Arial"/>
          <w:b/>
          <w:sz w:val="24"/>
          <w:szCs w:val="24"/>
        </w:rPr>
        <w:t>Análisis de fondo</w:t>
      </w:r>
      <w:r w:rsidR="00BE5AB3" w:rsidRPr="003522C1">
        <w:rPr>
          <w:rFonts w:ascii="Arial" w:hAnsi="Arial" w:cs="Arial"/>
          <w:b/>
          <w:sz w:val="24"/>
          <w:szCs w:val="24"/>
        </w:rPr>
        <w:t>:</w:t>
      </w:r>
    </w:p>
    <w:p w:rsidR="00BE5AB3" w:rsidRPr="003522C1" w:rsidRDefault="000B1701" w:rsidP="00910107">
      <w:pPr>
        <w:spacing w:line="360" w:lineRule="auto"/>
        <w:jc w:val="both"/>
        <w:rPr>
          <w:rFonts w:ascii="Arial" w:hAnsi="Arial" w:cs="Arial"/>
          <w:sz w:val="24"/>
          <w:szCs w:val="24"/>
        </w:rPr>
      </w:pPr>
      <w:r w:rsidRPr="003522C1">
        <w:rPr>
          <w:rFonts w:ascii="Arial" w:hAnsi="Arial" w:cs="Arial"/>
          <w:sz w:val="24"/>
          <w:szCs w:val="24"/>
        </w:rPr>
        <w:t>Libertad de pensamiento y de expresión, en relación con la obligación de respetar los derechos 1.1. Derechos a la libertad de pensamiento y d</w:t>
      </w:r>
      <w:r w:rsidR="00210B4E" w:rsidRPr="003522C1">
        <w:rPr>
          <w:rFonts w:ascii="Arial" w:hAnsi="Arial" w:cs="Arial"/>
          <w:sz w:val="24"/>
          <w:szCs w:val="24"/>
        </w:rPr>
        <w:t>e expresión y a la vida privada</w:t>
      </w:r>
      <w:r w:rsidR="002100EB" w:rsidRPr="003522C1">
        <w:rPr>
          <w:rFonts w:ascii="Arial" w:hAnsi="Arial" w:cs="Arial"/>
          <w:sz w:val="24"/>
          <w:szCs w:val="24"/>
        </w:rPr>
        <w:t>.</w:t>
      </w:r>
      <w:r w:rsidRPr="003522C1">
        <w:rPr>
          <w:rFonts w:ascii="Arial" w:hAnsi="Arial" w:cs="Arial"/>
          <w:sz w:val="24"/>
          <w:szCs w:val="24"/>
        </w:rPr>
        <w:t xml:space="preserve"> La Corte determinó que la violación del artículo 13 de la Convención Americana resultó de la decisión de la Corte Suprema que confirmó la condena civil impuesta por un tribunal de alzada. De tal modo la medida de responsabilidad ulterior impuesta resultó innecesaria en una sociedad democrática e in</w:t>
      </w:r>
      <w:r w:rsidR="00EA2CFF">
        <w:rPr>
          <w:rFonts w:ascii="Arial" w:hAnsi="Arial" w:cs="Arial"/>
          <w:sz w:val="24"/>
          <w:szCs w:val="24"/>
        </w:rPr>
        <w:t>compatible con aquel tratado</w:t>
      </w:r>
      <w:r w:rsidRPr="003522C1">
        <w:rPr>
          <w:rFonts w:ascii="Arial" w:hAnsi="Arial" w:cs="Arial"/>
          <w:sz w:val="24"/>
          <w:szCs w:val="24"/>
        </w:rPr>
        <w:t>.</w:t>
      </w:r>
      <w:r w:rsidR="00EA2CFF">
        <w:rPr>
          <w:rFonts w:ascii="Arial" w:hAnsi="Arial" w:cs="Arial"/>
          <w:sz w:val="24"/>
          <w:szCs w:val="24"/>
        </w:rPr>
        <w:t xml:space="preserve"> </w:t>
      </w:r>
      <w:r w:rsidRPr="003522C1">
        <w:rPr>
          <w:rFonts w:ascii="Arial" w:hAnsi="Arial" w:cs="Arial"/>
          <w:sz w:val="24"/>
          <w:szCs w:val="24"/>
        </w:rPr>
        <w:t>En el presente caso no fue la norma en sí misma la que determinó el resultado lesivo e incompatible con la Convención Americana, sino su aplicación en el caso concreto por las autoridades judiciales del Estado, la cual no observó los criteri</w:t>
      </w:r>
      <w:r w:rsidR="002100EB" w:rsidRPr="003522C1">
        <w:rPr>
          <w:rFonts w:ascii="Arial" w:hAnsi="Arial" w:cs="Arial"/>
          <w:sz w:val="24"/>
          <w:szCs w:val="24"/>
        </w:rPr>
        <w:t>os de necesidad mencionados.</w:t>
      </w:r>
      <w:r w:rsidRPr="003522C1">
        <w:rPr>
          <w:rFonts w:ascii="Arial" w:hAnsi="Arial" w:cs="Arial"/>
          <w:sz w:val="24"/>
          <w:szCs w:val="24"/>
        </w:rPr>
        <w:t xml:space="preserve"> Si bien los argumentos de los representantes y las consideraciones de los peritos sobre la eventualidad que, con base a la norma cuestionada, se arriben a decisiones contrarias al derecho a la libre expresión resultan atendibles, la Corte considera que, en general, aquella disposición, en grado suficiente, permite a las personas regular</w:t>
      </w:r>
      <w:r w:rsidR="00812292" w:rsidRPr="003522C1">
        <w:rPr>
          <w:rFonts w:ascii="Arial" w:hAnsi="Arial" w:cs="Arial"/>
          <w:sz w:val="24"/>
          <w:szCs w:val="24"/>
        </w:rPr>
        <w:t xml:space="preserve"> </w:t>
      </w:r>
      <w:r w:rsidRPr="003522C1">
        <w:rPr>
          <w:rFonts w:ascii="Arial" w:hAnsi="Arial" w:cs="Arial"/>
          <w:sz w:val="24"/>
          <w:szCs w:val="24"/>
        </w:rPr>
        <w:t>sus conductas y prever razonablemente las consecuencias de su infracción. De tal modo que su aplicación resulte conforme a la Convención dependerá de su interpretación j</w:t>
      </w:r>
      <w:r w:rsidR="002100EB" w:rsidRPr="003522C1">
        <w:rPr>
          <w:rFonts w:ascii="Arial" w:hAnsi="Arial" w:cs="Arial"/>
          <w:sz w:val="24"/>
          <w:szCs w:val="24"/>
        </w:rPr>
        <w:t>udicial en el caso concreto.</w:t>
      </w:r>
      <w:r w:rsidRPr="003522C1">
        <w:rPr>
          <w:rFonts w:ascii="Arial" w:hAnsi="Arial" w:cs="Arial"/>
          <w:sz w:val="24"/>
          <w:szCs w:val="24"/>
        </w:rPr>
        <w:t xml:space="preserve"> Este Tribunal ha establecido en su jurisprudencia que es consciente que las autoridades internas están sujetas al imperio de la ley y, por ello, están obligadas a aplicar las disposiciones vigentes en el ordenamiento jurídico</w:t>
      </w:r>
      <w:r w:rsidRPr="003522C1">
        <w:rPr>
          <w:rFonts w:ascii="Arial" w:hAnsi="Arial" w:cs="Arial"/>
          <w:color w:val="FF0000"/>
          <w:sz w:val="24"/>
          <w:szCs w:val="24"/>
        </w:rPr>
        <w:t xml:space="preserve">. </w:t>
      </w:r>
      <w:r w:rsidRPr="003522C1">
        <w:rPr>
          <w:rFonts w:ascii="Arial" w:hAnsi="Arial" w:cs="Arial"/>
          <w:sz w:val="24"/>
          <w:szCs w:val="24"/>
        </w:rPr>
        <w:t xml:space="preserve">Pero cuando </w:t>
      </w:r>
      <w:r w:rsidRPr="003522C1">
        <w:rPr>
          <w:rFonts w:ascii="Arial" w:hAnsi="Arial" w:cs="Arial"/>
          <w:sz w:val="24"/>
          <w:szCs w:val="24"/>
        </w:rPr>
        <w:lastRenderedPageBreak/>
        <w:t>un Estado es parte de un tratado internacional como la Convención Americana, dicho tratado obliga a todos sus órganos, incluidos sus jueces, quienes deben velar por que los efectos de las disposiciones de la Convención no se vean mermados por la aplicación de normas o interpretaciones contrarias a su objeto y fin</w:t>
      </w:r>
      <w:r w:rsidRPr="003522C1">
        <w:rPr>
          <w:rFonts w:ascii="Arial" w:hAnsi="Arial" w:cs="Arial"/>
          <w:b/>
          <w:sz w:val="24"/>
          <w:szCs w:val="24"/>
        </w:rPr>
        <w:t xml:space="preserve">. </w:t>
      </w:r>
      <w:r w:rsidRPr="003522C1">
        <w:rPr>
          <w:rFonts w:ascii="Arial" w:hAnsi="Arial" w:cs="Arial"/>
          <w:sz w:val="24"/>
          <w:szCs w:val="24"/>
        </w:rPr>
        <w:t xml:space="preserve">Los jueces y órganos vinculados a la administración de justicia en todos los niveles están en la obligación de ejercer ex </w:t>
      </w:r>
      <w:proofErr w:type="spellStart"/>
      <w:r w:rsidRPr="003522C1">
        <w:rPr>
          <w:rFonts w:ascii="Arial" w:hAnsi="Arial" w:cs="Arial"/>
          <w:sz w:val="24"/>
          <w:szCs w:val="24"/>
        </w:rPr>
        <w:t>officio</w:t>
      </w:r>
      <w:proofErr w:type="spellEnd"/>
      <w:r w:rsidRPr="003522C1">
        <w:rPr>
          <w:rFonts w:ascii="Arial" w:hAnsi="Arial" w:cs="Arial"/>
          <w:sz w:val="24"/>
          <w:szCs w:val="24"/>
        </w:rPr>
        <w:t xml:space="preserve"> un “control de convencionalidad” entre las normas internas y la Convención Americana, evidentemente en el marco de sus respectivas competencias y de las regulaciones procesales correspondientes. En esta tarea, los jueces y órganos vinculados a la administración de justicia deben tener en cuenta no solamente el tratado, sino también la interpretación que del mismo ha </w:t>
      </w:r>
      <w:r w:rsidR="00210B4E" w:rsidRPr="003522C1">
        <w:rPr>
          <w:rFonts w:ascii="Arial" w:hAnsi="Arial" w:cs="Arial"/>
          <w:sz w:val="24"/>
          <w:szCs w:val="24"/>
        </w:rPr>
        <w:t>hecho la Corte Interamericana</w:t>
      </w:r>
      <w:r w:rsidRPr="003522C1">
        <w:rPr>
          <w:rFonts w:ascii="Arial" w:hAnsi="Arial" w:cs="Arial"/>
          <w:sz w:val="24"/>
          <w:szCs w:val="24"/>
        </w:rPr>
        <w:t xml:space="preserve">. Al respecto, la Corte destaca la importancia de que los órganos judiciales argentinos aseguren que los procedimientos internos en los cuales se debate el ejercicio del derecho a la libertad de expresión, cumplan con el propósito y </w:t>
      </w:r>
      <w:proofErr w:type="gramStart"/>
      <w:r w:rsidRPr="003522C1">
        <w:rPr>
          <w:rFonts w:ascii="Arial" w:hAnsi="Arial" w:cs="Arial"/>
          <w:sz w:val="24"/>
          <w:szCs w:val="24"/>
        </w:rPr>
        <w:t>fin</w:t>
      </w:r>
      <w:proofErr w:type="gramEnd"/>
      <w:r w:rsidRPr="003522C1">
        <w:rPr>
          <w:rFonts w:ascii="Arial" w:hAnsi="Arial" w:cs="Arial"/>
          <w:sz w:val="24"/>
          <w:szCs w:val="24"/>
        </w:rPr>
        <w:t xml:space="preserve"> así como las demás obligaciones derivadas de la Convención Americana. De tal modo, es preciso que en el análisis de casos como el presente tengan en cuenta el umbral diferenciado de protección al derecho a la vida privada consecuencia de la condición de funcionario público, la existencia de interés público de la información y la eventualidad que las indemnizaciones civiles no impliquen una inhibición o autocensura de quienes ejercen el derecho a la libre expresión y de la ciudadanía, lo cual restringiría ilegítimamente el debate público y limitaría el pluralismo informativo, necesario e</w:t>
      </w:r>
      <w:r w:rsidR="002100EB" w:rsidRPr="003522C1">
        <w:rPr>
          <w:rFonts w:ascii="Arial" w:hAnsi="Arial" w:cs="Arial"/>
          <w:sz w:val="24"/>
          <w:szCs w:val="24"/>
        </w:rPr>
        <w:t>n toda sociedad democrática.</w:t>
      </w:r>
      <w:r w:rsidRPr="003522C1">
        <w:rPr>
          <w:rFonts w:ascii="Arial" w:hAnsi="Arial" w:cs="Arial"/>
          <w:sz w:val="24"/>
          <w:szCs w:val="24"/>
        </w:rPr>
        <w:t xml:space="preserve"> Con base en las consideraciones anteriores, el Tribunal concluye que el Estado no incumplió la obligación general de adoptar disposiciones de derecho interno establecida en el artículo 2 de la </w:t>
      </w:r>
      <w:r w:rsidRPr="003522C1">
        <w:rPr>
          <w:rFonts w:ascii="Arial" w:hAnsi="Arial" w:cs="Arial"/>
          <w:sz w:val="24"/>
          <w:szCs w:val="24"/>
        </w:rPr>
        <w:lastRenderedPageBreak/>
        <w:t>Convención Americana, en relación con el derecho a la libertad de expresión, resp</w:t>
      </w:r>
      <w:r w:rsidR="002100EB" w:rsidRPr="003522C1">
        <w:rPr>
          <w:rFonts w:ascii="Arial" w:hAnsi="Arial" w:cs="Arial"/>
          <w:sz w:val="24"/>
          <w:szCs w:val="24"/>
        </w:rPr>
        <w:t>ecto de la legislación civil.</w:t>
      </w:r>
      <w:r w:rsidRPr="003522C1">
        <w:rPr>
          <w:rFonts w:ascii="Arial" w:hAnsi="Arial" w:cs="Arial"/>
          <w:sz w:val="24"/>
          <w:szCs w:val="24"/>
        </w:rPr>
        <w:t xml:space="preserve"> </w:t>
      </w:r>
    </w:p>
    <w:p w:rsidR="00BE5AB3" w:rsidRPr="003522C1" w:rsidRDefault="000B1701" w:rsidP="00910107">
      <w:pPr>
        <w:spacing w:line="360" w:lineRule="auto"/>
        <w:jc w:val="both"/>
        <w:rPr>
          <w:rFonts w:ascii="Arial" w:hAnsi="Arial" w:cs="Arial"/>
          <w:b/>
          <w:sz w:val="24"/>
          <w:szCs w:val="24"/>
        </w:rPr>
      </w:pPr>
      <w:r w:rsidRPr="003522C1">
        <w:rPr>
          <w:rFonts w:ascii="Arial" w:hAnsi="Arial" w:cs="Arial"/>
          <w:b/>
          <w:sz w:val="24"/>
          <w:szCs w:val="24"/>
        </w:rPr>
        <w:t>Reparaciones</w:t>
      </w:r>
      <w:r w:rsidR="00C82763" w:rsidRPr="003522C1">
        <w:rPr>
          <w:rFonts w:ascii="Arial" w:hAnsi="Arial" w:cs="Arial"/>
          <w:b/>
          <w:sz w:val="24"/>
          <w:szCs w:val="24"/>
        </w:rPr>
        <w:t>:</w:t>
      </w:r>
    </w:p>
    <w:p w:rsidR="00CF14ED" w:rsidRPr="003522C1" w:rsidRDefault="00D36E43" w:rsidP="00910107">
      <w:pPr>
        <w:spacing w:line="360" w:lineRule="auto"/>
        <w:jc w:val="both"/>
        <w:rPr>
          <w:rFonts w:ascii="Arial" w:hAnsi="Arial" w:cs="Arial"/>
          <w:sz w:val="24"/>
          <w:szCs w:val="24"/>
        </w:rPr>
      </w:pPr>
      <w:r w:rsidRPr="003522C1">
        <w:rPr>
          <w:rFonts w:ascii="Arial" w:hAnsi="Arial" w:cs="Arial"/>
          <w:sz w:val="24"/>
          <w:szCs w:val="24"/>
        </w:rPr>
        <w:t xml:space="preserve">La Corte dispone que, </w:t>
      </w:r>
      <w:r w:rsidR="000B1701" w:rsidRPr="003522C1">
        <w:rPr>
          <w:rFonts w:ascii="Arial" w:hAnsi="Arial" w:cs="Arial"/>
          <w:sz w:val="24"/>
          <w:szCs w:val="24"/>
        </w:rPr>
        <w:t>La Sentencia de Fondo, Reparaciones y Costas</w:t>
      </w:r>
      <w:r w:rsidRPr="003522C1">
        <w:rPr>
          <w:rFonts w:ascii="Arial" w:hAnsi="Arial" w:cs="Arial"/>
          <w:sz w:val="24"/>
          <w:szCs w:val="24"/>
        </w:rPr>
        <w:t>,</w:t>
      </w:r>
      <w:r w:rsidR="000B1701" w:rsidRPr="003522C1">
        <w:rPr>
          <w:rFonts w:ascii="Arial" w:hAnsi="Arial" w:cs="Arial"/>
          <w:sz w:val="24"/>
          <w:szCs w:val="24"/>
        </w:rPr>
        <w:t xml:space="preserve"> constituye per se una forma de reparación. - El Estado debe dejar sin efecto la condena civil impuesta a los señores Jorge </w:t>
      </w:r>
      <w:proofErr w:type="spellStart"/>
      <w:r w:rsidR="000B1701" w:rsidRPr="003522C1">
        <w:rPr>
          <w:rFonts w:ascii="Arial" w:hAnsi="Arial" w:cs="Arial"/>
          <w:sz w:val="24"/>
          <w:szCs w:val="24"/>
        </w:rPr>
        <w:t>Fontevecchia</w:t>
      </w:r>
      <w:proofErr w:type="spellEnd"/>
      <w:r w:rsidR="000B1701" w:rsidRPr="003522C1">
        <w:rPr>
          <w:rFonts w:ascii="Arial" w:hAnsi="Arial" w:cs="Arial"/>
          <w:sz w:val="24"/>
          <w:szCs w:val="24"/>
        </w:rPr>
        <w:t xml:space="preserve"> y </w:t>
      </w:r>
      <w:r w:rsidR="00EA2CFF" w:rsidRPr="003522C1">
        <w:rPr>
          <w:rFonts w:ascii="Arial" w:hAnsi="Arial" w:cs="Arial"/>
          <w:sz w:val="24"/>
          <w:szCs w:val="24"/>
        </w:rPr>
        <w:t>Héctor</w:t>
      </w:r>
      <w:r w:rsidRPr="003522C1">
        <w:rPr>
          <w:rFonts w:ascii="Arial" w:hAnsi="Arial" w:cs="Arial"/>
          <w:sz w:val="24"/>
          <w:szCs w:val="24"/>
        </w:rPr>
        <w:t xml:space="preserve"> </w:t>
      </w:r>
      <w:proofErr w:type="spellStart"/>
      <w:proofErr w:type="gramStart"/>
      <w:r w:rsidR="000B1701" w:rsidRPr="003522C1">
        <w:rPr>
          <w:rFonts w:ascii="Arial" w:hAnsi="Arial" w:cs="Arial"/>
          <w:sz w:val="24"/>
          <w:szCs w:val="24"/>
        </w:rPr>
        <w:t>D’Amico</w:t>
      </w:r>
      <w:proofErr w:type="spellEnd"/>
      <w:proofErr w:type="gramEnd"/>
      <w:r w:rsidR="000B1701" w:rsidRPr="003522C1">
        <w:rPr>
          <w:rFonts w:ascii="Arial" w:hAnsi="Arial" w:cs="Arial"/>
          <w:sz w:val="24"/>
          <w:szCs w:val="24"/>
        </w:rPr>
        <w:t xml:space="preserve"> así como todas sus consecuencias, en el plazo de un año contado a partir de la notificación de la Sentencia de </w:t>
      </w:r>
      <w:r w:rsidR="00EA2CFF">
        <w:rPr>
          <w:rFonts w:ascii="Arial" w:hAnsi="Arial" w:cs="Arial"/>
          <w:sz w:val="24"/>
          <w:szCs w:val="24"/>
        </w:rPr>
        <w:t xml:space="preserve">Fondo, Reparaciones y Costas. </w:t>
      </w:r>
      <w:r w:rsidR="000B1701" w:rsidRPr="003522C1">
        <w:rPr>
          <w:rFonts w:ascii="Arial" w:hAnsi="Arial" w:cs="Arial"/>
          <w:sz w:val="24"/>
          <w:szCs w:val="24"/>
        </w:rPr>
        <w:t>El Estado debe realizar las publicaciones dispuestas en la Sentencia de Fondo,</w:t>
      </w:r>
      <w:r w:rsidR="000B1701" w:rsidRPr="003522C1">
        <w:rPr>
          <w:rFonts w:ascii="Arial" w:hAnsi="Arial" w:cs="Arial"/>
          <w:b/>
          <w:sz w:val="24"/>
          <w:szCs w:val="24"/>
        </w:rPr>
        <w:t xml:space="preserve"> </w:t>
      </w:r>
      <w:r w:rsidR="000B1701" w:rsidRPr="003522C1">
        <w:rPr>
          <w:rFonts w:ascii="Arial" w:hAnsi="Arial" w:cs="Arial"/>
          <w:sz w:val="24"/>
          <w:szCs w:val="24"/>
        </w:rPr>
        <w:t>Reparaciones y Costas, de</w:t>
      </w:r>
      <w:r w:rsidR="000B1701" w:rsidRPr="003522C1">
        <w:rPr>
          <w:rFonts w:ascii="Arial" w:hAnsi="Arial" w:cs="Arial"/>
          <w:b/>
          <w:sz w:val="24"/>
          <w:szCs w:val="24"/>
        </w:rPr>
        <w:t xml:space="preserve"> </w:t>
      </w:r>
      <w:r w:rsidR="000B1701" w:rsidRPr="003522C1">
        <w:rPr>
          <w:rFonts w:ascii="Arial" w:hAnsi="Arial" w:cs="Arial"/>
          <w:sz w:val="24"/>
          <w:szCs w:val="24"/>
        </w:rPr>
        <w:t>conformidad con lo establecido en el párrafo 108 de la misma. - El Estado debe entregar los montos referidos en los párrafos 105, 128 y 129 de la Sentencia de Fondo, Reparaciones y Costas, dentro del plazo de un año contado a partir de su notificación. - La Corte supervisará el cumplimiento íntegro de la Sentencia de Fondo, Reparaciones y Costas,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la Sentencia de Fondo, Reparaciones y Costas, rendir a la Corte un informe sobre las medidas adoptadas para cumplir con la misma.</w:t>
      </w:r>
      <w:r w:rsidR="00C82763" w:rsidRPr="003522C1">
        <w:rPr>
          <w:rFonts w:ascii="Arial" w:hAnsi="Arial" w:cs="Arial"/>
          <w:sz w:val="24"/>
          <w:szCs w:val="24"/>
        </w:rPr>
        <w:t xml:space="preserve"> Puntos resolutivos: </w:t>
      </w:r>
      <w:r w:rsidR="00716431" w:rsidRPr="003522C1">
        <w:rPr>
          <w:rFonts w:ascii="Arial" w:hAnsi="Arial" w:cs="Arial"/>
          <w:sz w:val="24"/>
          <w:szCs w:val="24"/>
        </w:rPr>
        <w:t xml:space="preserve">La Corte declara que El Estado violó el derecho a la libertad de expresión reconocido en el artículo 13 de la Convención Americana sobre Derechos Humanos, en relación con el artículo 1.1 de la misma, en perjuicio de los señores Jorge </w:t>
      </w:r>
      <w:proofErr w:type="spellStart"/>
      <w:r w:rsidR="00716431" w:rsidRPr="003522C1">
        <w:rPr>
          <w:rFonts w:ascii="Arial" w:hAnsi="Arial" w:cs="Arial"/>
          <w:sz w:val="24"/>
          <w:szCs w:val="24"/>
        </w:rPr>
        <w:t>Fontevecchia</w:t>
      </w:r>
      <w:proofErr w:type="spellEnd"/>
      <w:r w:rsidR="00716431" w:rsidRPr="003522C1">
        <w:rPr>
          <w:rFonts w:ascii="Arial" w:hAnsi="Arial" w:cs="Arial"/>
          <w:sz w:val="24"/>
          <w:szCs w:val="24"/>
        </w:rPr>
        <w:t xml:space="preserve"> y </w:t>
      </w:r>
      <w:proofErr w:type="spellStart"/>
      <w:r w:rsidR="00716431" w:rsidRPr="003522C1">
        <w:rPr>
          <w:rFonts w:ascii="Arial" w:hAnsi="Arial" w:cs="Arial"/>
          <w:sz w:val="24"/>
          <w:szCs w:val="24"/>
        </w:rPr>
        <w:t>Hector</w:t>
      </w:r>
      <w:proofErr w:type="spellEnd"/>
      <w:r w:rsidR="00812292" w:rsidRPr="003522C1">
        <w:rPr>
          <w:rFonts w:ascii="Arial" w:hAnsi="Arial" w:cs="Arial"/>
          <w:sz w:val="24"/>
          <w:szCs w:val="24"/>
        </w:rPr>
        <w:t xml:space="preserve"> </w:t>
      </w:r>
      <w:proofErr w:type="spellStart"/>
      <w:r w:rsidR="00716431" w:rsidRPr="003522C1">
        <w:rPr>
          <w:rFonts w:ascii="Arial" w:hAnsi="Arial" w:cs="Arial"/>
          <w:sz w:val="24"/>
          <w:szCs w:val="24"/>
        </w:rPr>
        <w:t>D’Amico</w:t>
      </w:r>
      <w:proofErr w:type="spellEnd"/>
      <w:r w:rsidR="00716431" w:rsidRPr="003522C1">
        <w:rPr>
          <w:rFonts w:ascii="Arial" w:hAnsi="Arial" w:cs="Arial"/>
          <w:sz w:val="24"/>
          <w:szCs w:val="24"/>
        </w:rPr>
        <w:t>. - El Estado no incumplió la obligación general de adoptar disposiciones de derecho interno, reconocida en el artículo 2 de la Convención Americana</w:t>
      </w:r>
      <w:r w:rsidR="002100EB" w:rsidRPr="003522C1">
        <w:rPr>
          <w:rFonts w:ascii="Arial" w:hAnsi="Arial" w:cs="Arial"/>
          <w:b/>
          <w:sz w:val="24"/>
          <w:szCs w:val="24"/>
        </w:rPr>
        <w:t>.”</w:t>
      </w:r>
      <w:r w:rsidR="00EB2D00" w:rsidRPr="003522C1">
        <w:rPr>
          <w:rFonts w:ascii="Arial" w:hAnsi="Arial" w:cs="Arial"/>
          <w:b/>
          <w:sz w:val="24"/>
          <w:szCs w:val="24"/>
          <w:vertAlign w:val="subscript"/>
        </w:rPr>
        <w:t>1</w:t>
      </w:r>
      <w:r w:rsidR="00BE5AB3" w:rsidRPr="003522C1">
        <w:rPr>
          <w:rFonts w:ascii="Arial" w:hAnsi="Arial" w:cs="Arial"/>
          <w:b/>
          <w:sz w:val="24"/>
          <w:szCs w:val="24"/>
          <w:vertAlign w:val="subscript"/>
        </w:rPr>
        <w:t>.</w:t>
      </w:r>
    </w:p>
    <w:p w:rsidR="00BE5AB3" w:rsidRPr="003522C1" w:rsidRDefault="00070960" w:rsidP="00910107">
      <w:pPr>
        <w:spacing w:line="360" w:lineRule="auto"/>
        <w:jc w:val="both"/>
        <w:rPr>
          <w:rFonts w:ascii="Arial" w:hAnsi="Arial" w:cs="Arial"/>
          <w:b/>
          <w:sz w:val="24"/>
          <w:szCs w:val="24"/>
          <w:lang w:val="es-AR"/>
        </w:rPr>
      </w:pPr>
      <w:r w:rsidRPr="003522C1">
        <w:rPr>
          <w:rFonts w:ascii="Arial" w:hAnsi="Arial" w:cs="Arial"/>
          <w:b/>
          <w:sz w:val="24"/>
          <w:szCs w:val="24"/>
          <w:lang w:val="es-AR"/>
        </w:rPr>
        <w:lastRenderedPageBreak/>
        <w:t>3</w:t>
      </w:r>
      <w:r w:rsidR="00F15A8A" w:rsidRPr="003522C1">
        <w:rPr>
          <w:rFonts w:ascii="Arial" w:hAnsi="Arial" w:cs="Arial"/>
          <w:b/>
          <w:sz w:val="24"/>
          <w:szCs w:val="24"/>
          <w:lang w:val="es-AR"/>
        </w:rPr>
        <w:t>).-Análisis del fallo dictado por la</w:t>
      </w:r>
      <w:r w:rsidR="0065337F" w:rsidRPr="003522C1">
        <w:rPr>
          <w:rFonts w:ascii="Arial" w:hAnsi="Arial" w:cs="Arial"/>
          <w:b/>
          <w:sz w:val="24"/>
          <w:szCs w:val="24"/>
          <w:lang w:val="es-AR"/>
        </w:rPr>
        <w:t xml:space="preserve"> CSJN en los autos caratulados “MINIST</w:t>
      </w:r>
      <w:r w:rsidR="00F15A8A" w:rsidRPr="003522C1">
        <w:rPr>
          <w:rFonts w:ascii="Arial" w:hAnsi="Arial" w:cs="Arial"/>
          <w:b/>
          <w:sz w:val="24"/>
          <w:szCs w:val="24"/>
          <w:lang w:val="es-AR"/>
        </w:rPr>
        <w:t>ERIO DE RELACIONES EXTERIORES y CULTO s</w:t>
      </w:r>
      <w:r w:rsidR="0065337F" w:rsidRPr="003522C1">
        <w:rPr>
          <w:rFonts w:ascii="Arial" w:hAnsi="Arial" w:cs="Arial"/>
          <w:b/>
          <w:sz w:val="24"/>
          <w:szCs w:val="24"/>
          <w:lang w:val="es-AR"/>
        </w:rPr>
        <w:t>/ INFORME SENTENCIA DICTADA EN EL CASO “FONTEVECCHIA y D’ AMICO vs. ARGENTINA</w:t>
      </w:r>
      <w:r w:rsidR="00816603" w:rsidRPr="003522C1">
        <w:rPr>
          <w:rFonts w:ascii="Arial" w:hAnsi="Arial" w:cs="Arial"/>
          <w:b/>
          <w:sz w:val="24"/>
          <w:szCs w:val="24"/>
          <w:lang w:val="es-AR"/>
        </w:rPr>
        <w:t>”</w:t>
      </w:r>
      <w:r w:rsidR="00B74CCF" w:rsidRPr="003522C1">
        <w:rPr>
          <w:rFonts w:ascii="Arial" w:hAnsi="Arial" w:cs="Arial"/>
          <w:b/>
          <w:sz w:val="24"/>
          <w:szCs w:val="24"/>
          <w:lang w:val="es-AR"/>
        </w:rPr>
        <w:t>:</w:t>
      </w:r>
      <w:r w:rsidR="009A2EA4" w:rsidRPr="003522C1">
        <w:rPr>
          <w:rFonts w:ascii="Arial" w:hAnsi="Arial" w:cs="Arial"/>
          <w:b/>
          <w:sz w:val="24"/>
          <w:szCs w:val="24"/>
          <w:lang w:val="es-AR"/>
        </w:rPr>
        <w:t xml:space="preserve"> </w:t>
      </w:r>
    </w:p>
    <w:p w:rsidR="0065337F" w:rsidRPr="003522C1" w:rsidRDefault="0065337F" w:rsidP="00910107">
      <w:pPr>
        <w:spacing w:line="360" w:lineRule="auto"/>
        <w:jc w:val="both"/>
        <w:rPr>
          <w:rFonts w:ascii="Arial" w:hAnsi="Arial" w:cs="Arial"/>
          <w:b/>
          <w:sz w:val="24"/>
          <w:szCs w:val="24"/>
          <w:lang w:val="es-AR"/>
        </w:rPr>
      </w:pPr>
      <w:r w:rsidRPr="003522C1">
        <w:rPr>
          <w:rFonts w:ascii="Arial" w:hAnsi="Arial" w:cs="Arial"/>
          <w:color w:val="000000"/>
          <w:sz w:val="24"/>
          <w:szCs w:val="24"/>
        </w:rPr>
        <w:t xml:space="preserve">La Corte Suprema de Justicia de la Nación desestimó la presentación de la Dirección </w:t>
      </w:r>
      <w:proofErr w:type="gramStart"/>
      <w:r w:rsidRPr="003522C1">
        <w:rPr>
          <w:rFonts w:ascii="Arial" w:hAnsi="Arial" w:cs="Arial"/>
          <w:color w:val="000000"/>
          <w:sz w:val="24"/>
          <w:szCs w:val="24"/>
        </w:rPr>
        <w:t>General  de</w:t>
      </w:r>
      <w:proofErr w:type="gramEnd"/>
      <w:r w:rsidRPr="003522C1">
        <w:rPr>
          <w:rFonts w:ascii="Arial" w:hAnsi="Arial" w:cs="Arial"/>
          <w:color w:val="000000"/>
          <w:sz w:val="24"/>
          <w:szCs w:val="24"/>
        </w:rPr>
        <w:t xml:space="preserve"> Derechos Humanos del Ministerio de Relaciones Exteriores y Culto por la cual se solicitaba que, como consecuencia del fallo de la Corte Interamericana dictado en la causa “</w:t>
      </w:r>
      <w:proofErr w:type="spellStart"/>
      <w:r w:rsidRPr="003522C1">
        <w:rPr>
          <w:rFonts w:ascii="Arial" w:hAnsi="Arial" w:cs="Arial"/>
          <w:color w:val="000000"/>
          <w:sz w:val="24"/>
          <w:szCs w:val="24"/>
        </w:rPr>
        <w:t>Fontevecchia</w:t>
      </w:r>
      <w:proofErr w:type="spellEnd"/>
      <w:r w:rsidRPr="003522C1">
        <w:rPr>
          <w:rFonts w:ascii="Arial" w:hAnsi="Arial" w:cs="Arial"/>
          <w:color w:val="000000"/>
          <w:sz w:val="24"/>
          <w:szCs w:val="24"/>
        </w:rPr>
        <w:t xml:space="preserve"> y otros c/ República Argentina”,</w:t>
      </w:r>
      <w:r w:rsidR="00E377EF" w:rsidRPr="003522C1">
        <w:rPr>
          <w:rFonts w:ascii="Arial" w:hAnsi="Arial" w:cs="Arial"/>
          <w:sz w:val="24"/>
          <w:szCs w:val="24"/>
          <w:lang w:val="es-AR"/>
        </w:rPr>
        <w:t xml:space="preserve"> </w:t>
      </w:r>
      <w:proofErr w:type="spellStart"/>
      <w:r w:rsidR="00383C73" w:rsidRPr="003522C1">
        <w:rPr>
          <w:rFonts w:ascii="Arial" w:hAnsi="Arial" w:cs="Arial"/>
          <w:sz w:val="24"/>
          <w:szCs w:val="24"/>
          <w:lang w:val="es-AR"/>
        </w:rPr>
        <w:t>dejar</w:t>
      </w:r>
      <w:r w:rsidR="00E377EF" w:rsidRPr="003522C1">
        <w:rPr>
          <w:rFonts w:ascii="Arial" w:hAnsi="Arial" w:cs="Arial"/>
          <w:sz w:val="24"/>
          <w:szCs w:val="24"/>
          <w:lang w:val="es-AR"/>
        </w:rPr>
        <w:t>a</w:t>
      </w:r>
      <w:proofErr w:type="spellEnd"/>
      <w:r w:rsidR="00383C73" w:rsidRPr="003522C1">
        <w:rPr>
          <w:rFonts w:ascii="Arial" w:hAnsi="Arial" w:cs="Arial"/>
          <w:sz w:val="24"/>
          <w:szCs w:val="24"/>
          <w:lang w:val="es-AR"/>
        </w:rPr>
        <w:t xml:space="preserve"> sin efecto</w:t>
      </w:r>
      <w:r w:rsidR="00E377EF" w:rsidRPr="003522C1">
        <w:rPr>
          <w:rFonts w:ascii="Arial" w:hAnsi="Arial" w:cs="Arial"/>
          <w:color w:val="000000"/>
          <w:sz w:val="24"/>
          <w:szCs w:val="24"/>
        </w:rPr>
        <w:t xml:space="preserve"> una sentencia firme dictada por ella, en</w:t>
      </w:r>
      <w:r w:rsidR="00383C73" w:rsidRPr="003522C1">
        <w:rPr>
          <w:rFonts w:ascii="Arial" w:hAnsi="Arial" w:cs="Arial"/>
          <w:sz w:val="24"/>
          <w:szCs w:val="24"/>
          <w:lang w:val="es-AR"/>
        </w:rPr>
        <w:t xml:space="preserve"> la </w:t>
      </w:r>
      <w:r w:rsidR="00E377EF" w:rsidRPr="003522C1">
        <w:rPr>
          <w:rFonts w:ascii="Arial" w:hAnsi="Arial" w:cs="Arial"/>
          <w:sz w:val="24"/>
          <w:szCs w:val="24"/>
          <w:lang w:val="es-AR"/>
        </w:rPr>
        <w:t>que había impuesto una condena civil</w:t>
      </w:r>
      <w:r w:rsidR="00383C73" w:rsidRPr="003522C1">
        <w:rPr>
          <w:rFonts w:ascii="Arial" w:hAnsi="Arial" w:cs="Arial"/>
          <w:sz w:val="24"/>
          <w:szCs w:val="24"/>
          <w:lang w:val="es-AR"/>
        </w:rPr>
        <w:t xml:space="preserve"> a los Sres. Jorge </w:t>
      </w:r>
      <w:proofErr w:type="spellStart"/>
      <w:r w:rsidR="00383C73" w:rsidRPr="003522C1">
        <w:rPr>
          <w:rFonts w:ascii="Arial" w:hAnsi="Arial" w:cs="Arial"/>
          <w:sz w:val="24"/>
          <w:szCs w:val="24"/>
          <w:lang w:val="es-AR"/>
        </w:rPr>
        <w:t>Fontevecchia</w:t>
      </w:r>
      <w:proofErr w:type="spellEnd"/>
      <w:r w:rsidR="00383C73" w:rsidRPr="003522C1">
        <w:rPr>
          <w:rFonts w:ascii="Arial" w:hAnsi="Arial" w:cs="Arial"/>
          <w:sz w:val="24"/>
          <w:szCs w:val="24"/>
          <w:lang w:val="es-AR"/>
        </w:rPr>
        <w:t xml:space="preserve"> y </w:t>
      </w:r>
      <w:r w:rsidR="00910107" w:rsidRPr="003522C1">
        <w:rPr>
          <w:rFonts w:ascii="Arial" w:hAnsi="Arial" w:cs="Arial"/>
          <w:sz w:val="24"/>
          <w:szCs w:val="24"/>
          <w:lang w:val="es-AR"/>
        </w:rPr>
        <w:t>Héctor</w:t>
      </w:r>
      <w:r w:rsidR="00383C73" w:rsidRPr="003522C1">
        <w:rPr>
          <w:rFonts w:ascii="Arial" w:hAnsi="Arial" w:cs="Arial"/>
          <w:sz w:val="24"/>
          <w:szCs w:val="24"/>
          <w:lang w:val="es-AR"/>
        </w:rPr>
        <w:t xml:space="preserve"> </w:t>
      </w:r>
      <w:proofErr w:type="spellStart"/>
      <w:r w:rsidR="00383C73" w:rsidRPr="003522C1">
        <w:rPr>
          <w:rFonts w:ascii="Arial" w:hAnsi="Arial" w:cs="Arial"/>
          <w:sz w:val="24"/>
          <w:szCs w:val="24"/>
          <w:lang w:val="es-AR"/>
        </w:rPr>
        <w:t>D’Amico</w:t>
      </w:r>
      <w:proofErr w:type="spellEnd"/>
      <w:r w:rsidR="00F14573" w:rsidRPr="003522C1">
        <w:rPr>
          <w:rFonts w:ascii="Arial" w:hAnsi="Arial" w:cs="Arial"/>
          <w:color w:val="000000"/>
          <w:sz w:val="24"/>
          <w:szCs w:val="24"/>
        </w:rPr>
        <w:t>.</w:t>
      </w:r>
      <w:r w:rsidR="002628E2" w:rsidRPr="003522C1">
        <w:rPr>
          <w:rFonts w:ascii="Arial" w:hAnsi="Arial" w:cs="Arial"/>
          <w:color w:val="000000"/>
          <w:sz w:val="24"/>
          <w:szCs w:val="24"/>
        </w:rPr>
        <w:t xml:space="preserve"> </w:t>
      </w:r>
      <w:r w:rsidR="00D02FCF" w:rsidRPr="003522C1">
        <w:rPr>
          <w:rFonts w:ascii="Arial" w:hAnsi="Arial" w:cs="Arial"/>
          <w:color w:val="000000"/>
          <w:sz w:val="24"/>
          <w:szCs w:val="24"/>
        </w:rPr>
        <w:t>La CSJN</w:t>
      </w:r>
      <w:r w:rsidRPr="003522C1">
        <w:rPr>
          <w:rFonts w:ascii="Arial" w:hAnsi="Arial" w:cs="Arial"/>
          <w:sz w:val="24"/>
          <w:szCs w:val="24"/>
          <w:lang w:val="es-AR"/>
        </w:rPr>
        <w:t xml:space="preserve"> el 14 de Febrero de 2017 dictó un fallo opinabl</w:t>
      </w:r>
      <w:r w:rsidR="00383C73" w:rsidRPr="003522C1">
        <w:rPr>
          <w:rFonts w:ascii="Arial" w:hAnsi="Arial" w:cs="Arial"/>
          <w:sz w:val="24"/>
          <w:szCs w:val="24"/>
          <w:lang w:val="es-AR"/>
        </w:rPr>
        <w:t xml:space="preserve">e en derecho, en los </w:t>
      </w:r>
      <w:proofErr w:type="gramStart"/>
      <w:r w:rsidR="00383C73" w:rsidRPr="003522C1">
        <w:rPr>
          <w:rFonts w:ascii="Arial" w:hAnsi="Arial" w:cs="Arial"/>
          <w:sz w:val="24"/>
          <w:szCs w:val="24"/>
          <w:lang w:val="es-AR"/>
        </w:rPr>
        <w:t xml:space="preserve">autos </w:t>
      </w:r>
      <w:r w:rsidRPr="003522C1">
        <w:rPr>
          <w:rFonts w:ascii="Arial" w:hAnsi="Arial" w:cs="Arial"/>
          <w:sz w:val="24"/>
          <w:szCs w:val="24"/>
          <w:lang w:val="es-AR"/>
        </w:rPr>
        <w:t xml:space="preserve"> mencionados</w:t>
      </w:r>
      <w:proofErr w:type="gramEnd"/>
      <w:r w:rsidR="00383C73" w:rsidRPr="003522C1">
        <w:rPr>
          <w:rFonts w:ascii="Arial" w:hAnsi="Arial" w:cs="Arial"/>
          <w:sz w:val="24"/>
          <w:szCs w:val="24"/>
          <w:lang w:val="es-AR"/>
        </w:rPr>
        <w:t xml:space="preserve"> supra</w:t>
      </w:r>
      <w:r w:rsidRPr="003522C1">
        <w:rPr>
          <w:rFonts w:ascii="Arial" w:hAnsi="Arial" w:cs="Arial"/>
          <w:sz w:val="24"/>
          <w:szCs w:val="24"/>
          <w:lang w:val="es-AR"/>
        </w:rPr>
        <w:t xml:space="preserve"> y con el voto mayoritario, decidió no cumplir con la sentencia de la Corte IDH en un caso contencios</w:t>
      </w:r>
      <w:r w:rsidR="00D02FCF" w:rsidRPr="003522C1">
        <w:rPr>
          <w:rFonts w:ascii="Arial" w:hAnsi="Arial" w:cs="Arial"/>
          <w:sz w:val="24"/>
          <w:szCs w:val="24"/>
          <w:lang w:val="es-AR"/>
        </w:rPr>
        <w:t xml:space="preserve">o </w:t>
      </w:r>
      <w:r w:rsidR="00383C73" w:rsidRPr="003522C1">
        <w:rPr>
          <w:rFonts w:ascii="Arial" w:hAnsi="Arial" w:cs="Arial"/>
          <w:sz w:val="24"/>
          <w:szCs w:val="24"/>
          <w:lang w:val="es-AR"/>
        </w:rPr>
        <w:t xml:space="preserve">en que la Argentina fue parte, </w:t>
      </w:r>
      <w:r w:rsidR="00D02FCF" w:rsidRPr="003522C1">
        <w:rPr>
          <w:rFonts w:ascii="Arial" w:hAnsi="Arial" w:cs="Arial"/>
          <w:sz w:val="24"/>
          <w:szCs w:val="24"/>
          <w:lang w:val="es-AR"/>
        </w:rPr>
        <w:t>generando</w:t>
      </w:r>
      <w:r w:rsidRPr="003522C1">
        <w:rPr>
          <w:rFonts w:ascii="Arial" w:hAnsi="Arial" w:cs="Arial"/>
          <w:sz w:val="24"/>
          <w:szCs w:val="24"/>
          <w:lang w:val="es-AR"/>
        </w:rPr>
        <w:t xml:space="preserve"> un gran debate jurídico e institucional en la sociedad argentina</w:t>
      </w:r>
      <w:r w:rsidR="00B81858" w:rsidRPr="003522C1">
        <w:rPr>
          <w:rFonts w:ascii="Arial" w:hAnsi="Arial" w:cs="Arial"/>
          <w:sz w:val="24"/>
          <w:szCs w:val="24"/>
          <w:lang w:val="es-AR"/>
        </w:rPr>
        <w:t xml:space="preserve"> </w:t>
      </w:r>
      <w:r w:rsidRPr="003522C1">
        <w:rPr>
          <w:rFonts w:ascii="Arial" w:hAnsi="Arial" w:cs="Arial"/>
          <w:sz w:val="24"/>
          <w:szCs w:val="24"/>
          <w:lang w:val="es-AR"/>
        </w:rPr>
        <w:t>que divide la interpretación de los doctrinarios y juristas.</w:t>
      </w:r>
    </w:p>
    <w:p w:rsidR="00BE5AB3" w:rsidRPr="003522C1" w:rsidRDefault="0065337F" w:rsidP="00910107">
      <w:pPr>
        <w:spacing w:line="360" w:lineRule="auto"/>
        <w:jc w:val="both"/>
        <w:rPr>
          <w:rFonts w:ascii="Arial" w:hAnsi="Arial" w:cs="Arial"/>
          <w:sz w:val="24"/>
          <w:szCs w:val="24"/>
          <w:lang w:val="es-AR"/>
        </w:rPr>
      </w:pPr>
      <w:r w:rsidRPr="003522C1">
        <w:rPr>
          <w:rFonts w:ascii="Arial" w:hAnsi="Arial" w:cs="Arial"/>
          <w:b/>
          <w:sz w:val="24"/>
          <w:szCs w:val="24"/>
          <w:lang w:val="es-AR"/>
        </w:rPr>
        <w:t>a</w:t>
      </w:r>
      <w:proofErr w:type="gramStart"/>
      <w:r w:rsidRPr="003522C1">
        <w:rPr>
          <w:rFonts w:ascii="Arial" w:hAnsi="Arial" w:cs="Arial"/>
          <w:b/>
          <w:sz w:val="24"/>
          <w:szCs w:val="24"/>
          <w:lang w:val="es-AR"/>
        </w:rPr>
        <w:t>)</w:t>
      </w:r>
      <w:r w:rsidR="00F15A8A" w:rsidRPr="003522C1">
        <w:rPr>
          <w:rFonts w:ascii="Arial" w:hAnsi="Arial" w:cs="Arial"/>
          <w:b/>
          <w:sz w:val="24"/>
          <w:szCs w:val="24"/>
          <w:lang w:val="es-AR"/>
        </w:rPr>
        <w:t>.-</w:t>
      </w:r>
      <w:proofErr w:type="gramEnd"/>
      <w:r w:rsidRPr="003522C1">
        <w:rPr>
          <w:rFonts w:ascii="Arial" w:hAnsi="Arial" w:cs="Arial"/>
          <w:b/>
          <w:sz w:val="24"/>
          <w:szCs w:val="24"/>
          <w:lang w:val="es-AR"/>
        </w:rPr>
        <w:t xml:space="preserve"> Fundamentos de la posición mayoritaria de la CSJN para desestimar el cumplimiento del fallo de la Corte IDH:</w:t>
      </w:r>
      <w:r w:rsidR="00C52C1B" w:rsidRPr="003522C1">
        <w:rPr>
          <w:rFonts w:ascii="Arial" w:hAnsi="Arial" w:cs="Arial"/>
          <w:sz w:val="24"/>
          <w:szCs w:val="24"/>
          <w:lang w:val="es-AR"/>
        </w:rPr>
        <w:t xml:space="preserve"> </w:t>
      </w:r>
    </w:p>
    <w:p w:rsidR="008A231F" w:rsidRDefault="00D871F1" w:rsidP="00910107">
      <w:pPr>
        <w:spacing w:line="360" w:lineRule="auto"/>
        <w:jc w:val="both"/>
        <w:rPr>
          <w:rFonts w:ascii="Arial" w:hAnsi="Arial" w:cs="Arial"/>
          <w:color w:val="000000"/>
          <w:sz w:val="24"/>
          <w:szCs w:val="24"/>
        </w:rPr>
      </w:pPr>
      <w:r w:rsidRPr="003522C1">
        <w:rPr>
          <w:rFonts w:ascii="Arial" w:hAnsi="Arial" w:cs="Arial"/>
          <w:sz w:val="24"/>
          <w:szCs w:val="24"/>
          <w:lang w:val="es-AR"/>
        </w:rPr>
        <w:t>L</w:t>
      </w:r>
      <w:r w:rsidRPr="003522C1">
        <w:rPr>
          <w:rFonts w:ascii="Arial" w:hAnsi="Arial" w:cs="Arial"/>
          <w:color w:val="000000"/>
          <w:sz w:val="24"/>
          <w:szCs w:val="24"/>
        </w:rPr>
        <w:t xml:space="preserve">a </w:t>
      </w:r>
      <w:r w:rsidR="008D04BE" w:rsidRPr="003522C1">
        <w:rPr>
          <w:rFonts w:ascii="Arial" w:hAnsi="Arial" w:cs="Arial"/>
          <w:color w:val="000000"/>
          <w:sz w:val="24"/>
          <w:szCs w:val="24"/>
        </w:rPr>
        <w:t>misma</w:t>
      </w:r>
      <w:r w:rsidRPr="003522C1">
        <w:rPr>
          <w:rFonts w:ascii="Arial" w:hAnsi="Arial" w:cs="Arial"/>
          <w:color w:val="000000"/>
          <w:sz w:val="24"/>
          <w:szCs w:val="24"/>
        </w:rPr>
        <w:t xml:space="preserve"> fue conformada por el voto conjunto de los jueces Ricardo </w:t>
      </w:r>
      <w:proofErr w:type="spellStart"/>
      <w:r w:rsidRPr="003522C1">
        <w:rPr>
          <w:rFonts w:ascii="Arial" w:hAnsi="Arial" w:cs="Arial"/>
          <w:color w:val="000000"/>
          <w:sz w:val="24"/>
          <w:szCs w:val="24"/>
        </w:rPr>
        <w:t>Lorenze</w:t>
      </w:r>
      <w:r w:rsidR="00D02FCF" w:rsidRPr="003522C1">
        <w:rPr>
          <w:rFonts w:ascii="Arial" w:hAnsi="Arial" w:cs="Arial"/>
          <w:color w:val="000000"/>
          <w:sz w:val="24"/>
          <w:szCs w:val="24"/>
        </w:rPr>
        <w:t>tti</w:t>
      </w:r>
      <w:proofErr w:type="spellEnd"/>
      <w:r w:rsidR="00D02FCF" w:rsidRPr="003522C1">
        <w:rPr>
          <w:rFonts w:ascii="Arial" w:hAnsi="Arial" w:cs="Arial"/>
          <w:color w:val="000000"/>
          <w:sz w:val="24"/>
          <w:szCs w:val="24"/>
        </w:rPr>
        <w:t xml:space="preserve">, Elena </w:t>
      </w:r>
      <w:proofErr w:type="spellStart"/>
      <w:r w:rsidR="00D02FCF" w:rsidRPr="003522C1">
        <w:rPr>
          <w:rFonts w:ascii="Arial" w:hAnsi="Arial" w:cs="Arial"/>
          <w:color w:val="000000"/>
          <w:sz w:val="24"/>
          <w:szCs w:val="24"/>
        </w:rPr>
        <w:t>Highton</w:t>
      </w:r>
      <w:proofErr w:type="spellEnd"/>
      <w:r w:rsidR="00D02FCF" w:rsidRPr="003522C1">
        <w:rPr>
          <w:rFonts w:ascii="Arial" w:hAnsi="Arial" w:cs="Arial"/>
          <w:color w:val="000000"/>
          <w:sz w:val="24"/>
          <w:szCs w:val="24"/>
        </w:rPr>
        <w:t xml:space="preserve"> de Nolasco, </w:t>
      </w:r>
      <w:r w:rsidRPr="003522C1">
        <w:rPr>
          <w:rFonts w:ascii="Arial" w:hAnsi="Arial" w:cs="Arial"/>
          <w:color w:val="000000"/>
          <w:sz w:val="24"/>
          <w:szCs w:val="24"/>
        </w:rPr>
        <w:t xml:space="preserve">Carlos </w:t>
      </w:r>
      <w:proofErr w:type="spellStart"/>
      <w:r w:rsidRPr="003522C1">
        <w:rPr>
          <w:rFonts w:ascii="Arial" w:hAnsi="Arial" w:cs="Arial"/>
          <w:color w:val="000000"/>
          <w:sz w:val="24"/>
          <w:szCs w:val="24"/>
        </w:rPr>
        <w:t>Rosenkrantz</w:t>
      </w:r>
      <w:proofErr w:type="spellEnd"/>
      <w:r w:rsidRPr="003522C1">
        <w:rPr>
          <w:rFonts w:ascii="Arial" w:hAnsi="Arial" w:cs="Arial"/>
          <w:color w:val="000000"/>
          <w:sz w:val="24"/>
          <w:szCs w:val="24"/>
        </w:rPr>
        <w:t xml:space="preserve"> y el voto propio del juez Horacio </w:t>
      </w:r>
      <w:proofErr w:type="spellStart"/>
      <w:r w:rsidRPr="003522C1">
        <w:rPr>
          <w:rFonts w:ascii="Arial" w:hAnsi="Arial" w:cs="Arial"/>
          <w:color w:val="000000"/>
          <w:sz w:val="24"/>
          <w:szCs w:val="24"/>
        </w:rPr>
        <w:t>Rosatti</w:t>
      </w:r>
      <w:proofErr w:type="spellEnd"/>
      <w:r w:rsidRPr="003522C1">
        <w:rPr>
          <w:rFonts w:ascii="Arial" w:hAnsi="Arial" w:cs="Arial"/>
          <w:color w:val="000000"/>
          <w:sz w:val="24"/>
          <w:szCs w:val="24"/>
        </w:rPr>
        <w:t>;</w:t>
      </w:r>
      <w:r w:rsidR="00C52C1B" w:rsidRPr="003522C1">
        <w:rPr>
          <w:rFonts w:ascii="Arial" w:hAnsi="Arial" w:cs="Arial"/>
          <w:color w:val="000000"/>
          <w:sz w:val="24"/>
          <w:szCs w:val="24"/>
        </w:rPr>
        <w:t xml:space="preserve"> </w:t>
      </w:r>
      <w:r w:rsidR="008A231F">
        <w:rPr>
          <w:rFonts w:ascii="Arial" w:hAnsi="Arial" w:cs="Arial"/>
          <w:color w:val="000000"/>
          <w:sz w:val="24"/>
          <w:szCs w:val="24"/>
        </w:rPr>
        <w:t>y</w:t>
      </w:r>
      <w:r w:rsidRPr="003522C1">
        <w:rPr>
          <w:rFonts w:ascii="Arial" w:hAnsi="Arial" w:cs="Arial"/>
          <w:color w:val="000000"/>
          <w:sz w:val="24"/>
          <w:szCs w:val="24"/>
        </w:rPr>
        <w:t xml:space="preserve"> </w:t>
      </w:r>
      <w:r w:rsidR="00D02FCF" w:rsidRPr="003522C1">
        <w:rPr>
          <w:rFonts w:ascii="Arial" w:hAnsi="Arial" w:cs="Arial"/>
          <w:color w:val="000000"/>
          <w:sz w:val="24"/>
          <w:szCs w:val="24"/>
        </w:rPr>
        <w:t>en disidencia</w:t>
      </w:r>
      <w:r w:rsidRPr="003522C1">
        <w:rPr>
          <w:rFonts w:ascii="Arial" w:hAnsi="Arial" w:cs="Arial"/>
          <w:color w:val="000000"/>
          <w:sz w:val="24"/>
          <w:szCs w:val="24"/>
        </w:rPr>
        <w:t xml:space="preserve"> el Sr. </w:t>
      </w:r>
      <w:proofErr w:type="gramStart"/>
      <w:r w:rsidRPr="003522C1">
        <w:rPr>
          <w:rFonts w:ascii="Arial" w:hAnsi="Arial" w:cs="Arial"/>
          <w:color w:val="000000"/>
          <w:sz w:val="24"/>
          <w:szCs w:val="24"/>
        </w:rPr>
        <w:t>Ministro</w:t>
      </w:r>
      <w:proofErr w:type="gramEnd"/>
      <w:r w:rsidRPr="003522C1">
        <w:rPr>
          <w:rFonts w:ascii="Arial" w:hAnsi="Arial" w:cs="Arial"/>
          <w:color w:val="000000"/>
          <w:sz w:val="24"/>
          <w:szCs w:val="24"/>
        </w:rPr>
        <w:t xml:space="preserve"> Juan Carlos Maqueda.</w:t>
      </w:r>
    </w:p>
    <w:p w:rsidR="00E04C70" w:rsidRPr="003522C1" w:rsidRDefault="00BE5AB3" w:rsidP="00910107">
      <w:pPr>
        <w:spacing w:line="360" w:lineRule="auto"/>
        <w:jc w:val="both"/>
        <w:rPr>
          <w:rFonts w:ascii="Arial" w:hAnsi="Arial" w:cs="Arial"/>
          <w:sz w:val="24"/>
          <w:szCs w:val="24"/>
          <w:lang w:val="es-AR"/>
        </w:rPr>
      </w:pPr>
      <w:r w:rsidRPr="003522C1">
        <w:rPr>
          <w:rFonts w:ascii="Arial" w:hAnsi="Arial" w:cs="Arial"/>
          <w:sz w:val="24"/>
          <w:szCs w:val="24"/>
          <w:lang w:val="es-AR"/>
        </w:rPr>
        <w:t xml:space="preserve"> </w:t>
      </w:r>
      <w:r w:rsidR="009A2EA4" w:rsidRPr="003522C1">
        <w:rPr>
          <w:rFonts w:ascii="Arial" w:hAnsi="Arial" w:cs="Arial"/>
          <w:sz w:val="24"/>
          <w:szCs w:val="24"/>
          <w:lang w:val="es-AR"/>
        </w:rPr>
        <w:t>En el considerando 6</w:t>
      </w:r>
      <w:r w:rsidR="00845667" w:rsidRPr="003522C1">
        <w:rPr>
          <w:rFonts w:ascii="Arial" w:hAnsi="Arial" w:cs="Arial"/>
          <w:sz w:val="24"/>
          <w:szCs w:val="24"/>
          <w:lang w:val="es-AR"/>
        </w:rPr>
        <w:t xml:space="preserve"> y 20</w:t>
      </w:r>
      <w:r w:rsidR="009A2EA4" w:rsidRPr="003522C1">
        <w:rPr>
          <w:rFonts w:ascii="Arial" w:hAnsi="Arial" w:cs="Arial"/>
          <w:sz w:val="24"/>
          <w:szCs w:val="24"/>
          <w:lang w:val="es-AR"/>
        </w:rPr>
        <w:t xml:space="preserve">) de la sentencia la CSJN reconoce en principio la obligatoriedad de las sentencias de la Corte Interamericana, dictadas en procesos contencioso contra el Estado Argentino (art.68.1 CADH); sin embargo condiciona dicha obligatoriedad a que las mismas lo sea dentro del </w:t>
      </w:r>
      <w:r w:rsidR="009A2EA4" w:rsidRPr="003522C1">
        <w:rPr>
          <w:rFonts w:ascii="Arial" w:hAnsi="Arial" w:cs="Arial"/>
          <w:sz w:val="24"/>
          <w:szCs w:val="24"/>
          <w:lang w:val="es-AR"/>
        </w:rPr>
        <w:lastRenderedPageBreak/>
        <w:t>marc</w:t>
      </w:r>
      <w:r w:rsidR="00845667" w:rsidRPr="003522C1">
        <w:rPr>
          <w:rFonts w:ascii="Arial" w:hAnsi="Arial" w:cs="Arial"/>
          <w:sz w:val="24"/>
          <w:szCs w:val="24"/>
          <w:lang w:val="es-AR"/>
        </w:rPr>
        <w:t xml:space="preserve">o de sus </w:t>
      </w:r>
      <w:r w:rsidR="00D871F1" w:rsidRPr="003522C1">
        <w:rPr>
          <w:rFonts w:ascii="Arial" w:hAnsi="Arial" w:cs="Arial"/>
          <w:sz w:val="24"/>
          <w:szCs w:val="24"/>
          <w:lang w:val="es-AR"/>
        </w:rPr>
        <w:t>potestades</w:t>
      </w:r>
      <w:r w:rsidR="00845667" w:rsidRPr="003522C1">
        <w:rPr>
          <w:rFonts w:ascii="Arial" w:hAnsi="Arial" w:cs="Arial"/>
          <w:sz w:val="24"/>
          <w:szCs w:val="24"/>
          <w:lang w:val="es-AR"/>
        </w:rPr>
        <w:t xml:space="preserve"> remediales</w:t>
      </w:r>
      <w:r w:rsidR="009A2EA4" w:rsidRPr="003522C1">
        <w:rPr>
          <w:rFonts w:ascii="Arial" w:hAnsi="Arial" w:cs="Arial"/>
          <w:sz w:val="24"/>
          <w:szCs w:val="24"/>
          <w:lang w:val="es-AR"/>
        </w:rPr>
        <w:t>, esto es que debe circunscribirse a aquella materia sobre la cual tiene competencia el tribunal internacional ( art.63, CADH, arts.27,75 inc.</w:t>
      </w:r>
      <w:r w:rsidR="00EC7BEF" w:rsidRPr="003522C1">
        <w:rPr>
          <w:rFonts w:ascii="Arial" w:hAnsi="Arial" w:cs="Arial"/>
          <w:sz w:val="24"/>
          <w:szCs w:val="24"/>
          <w:lang w:val="es-AR"/>
        </w:rPr>
        <w:t>22 y 108 Constitución Nacional)</w:t>
      </w:r>
      <w:r w:rsidR="00845667" w:rsidRPr="003522C1">
        <w:rPr>
          <w:rFonts w:ascii="Arial" w:hAnsi="Arial" w:cs="Arial"/>
          <w:sz w:val="24"/>
          <w:szCs w:val="24"/>
          <w:lang w:val="es-AR"/>
        </w:rPr>
        <w:t>. Sostiene que con ese alcance el Estado argentino se ha obligado internacionalmente a acatar las decisiones de la Corte Interamericana.</w:t>
      </w:r>
      <w:r w:rsidRPr="003522C1">
        <w:rPr>
          <w:rFonts w:ascii="Arial" w:hAnsi="Arial" w:cs="Arial"/>
          <w:sz w:val="24"/>
          <w:szCs w:val="24"/>
          <w:lang w:val="es-AR"/>
        </w:rPr>
        <w:t xml:space="preserve"> </w:t>
      </w:r>
      <w:r w:rsidR="00F2273E" w:rsidRPr="003522C1">
        <w:rPr>
          <w:rFonts w:ascii="Arial" w:hAnsi="Arial" w:cs="Arial"/>
          <w:sz w:val="24"/>
          <w:szCs w:val="24"/>
          <w:lang w:val="es-AR"/>
        </w:rPr>
        <w:t xml:space="preserve">En el considerando 8, 9 y 10) remarca el carácter subsidiario del sistema interamericano de protección de derechos humanos </w:t>
      </w:r>
      <w:proofErr w:type="gramStart"/>
      <w:r w:rsidR="00F2273E" w:rsidRPr="003522C1">
        <w:rPr>
          <w:rFonts w:ascii="Arial" w:hAnsi="Arial" w:cs="Arial"/>
          <w:sz w:val="24"/>
          <w:szCs w:val="24"/>
          <w:lang w:val="es-AR"/>
        </w:rPr>
        <w:t>( cfr.</w:t>
      </w:r>
      <w:proofErr w:type="gramEnd"/>
      <w:r w:rsidR="00F2273E" w:rsidRPr="003522C1">
        <w:rPr>
          <w:rFonts w:ascii="Arial" w:hAnsi="Arial" w:cs="Arial"/>
          <w:sz w:val="24"/>
          <w:szCs w:val="24"/>
          <w:lang w:val="es-AR"/>
        </w:rPr>
        <w:t xml:space="preserve"> arts.46.1.a y 61.2 CADH</w:t>
      </w:r>
      <w:r w:rsidR="00EC7BEF" w:rsidRPr="003522C1">
        <w:rPr>
          <w:rFonts w:ascii="Arial" w:hAnsi="Arial" w:cs="Arial"/>
          <w:sz w:val="24"/>
          <w:szCs w:val="24"/>
          <w:lang w:val="es-AR"/>
        </w:rPr>
        <w:t>)</w:t>
      </w:r>
      <w:r w:rsidR="00F2273E" w:rsidRPr="003522C1">
        <w:rPr>
          <w:rFonts w:ascii="Arial" w:hAnsi="Arial" w:cs="Arial"/>
          <w:sz w:val="24"/>
          <w:szCs w:val="24"/>
          <w:lang w:val="es-AR"/>
        </w:rPr>
        <w:t xml:space="preserve"> y en el principio en que la Corte no actúa como una instancia más en los casos tratados por las Cortes Nacionales. Que la Corte Interamericana no constituye una cuarta instancia que revisa o anula decisiones jurisdiccionales estatales, sino que es subsidiaria, coadyuvante y complementaria (</w:t>
      </w:r>
      <w:r w:rsidR="00EC7BEF" w:rsidRPr="003522C1">
        <w:rPr>
          <w:rFonts w:ascii="Arial" w:hAnsi="Arial" w:cs="Arial"/>
          <w:sz w:val="24"/>
          <w:szCs w:val="24"/>
          <w:lang w:val="es-AR"/>
        </w:rPr>
        <w:t xml:space="preserve">se </w:t>
      </w:r>
      <w:proofErr w:type="gramStart"/>
      <w:r w:rsidR="00EC7BEF" w:rsidRPr="003522C1">
        <w:rPr>
          <w:rFonts w:ascii="Arial" w:hAnsi="Arial" w:cs="Arial"/>
          <w:sz w:val="24"/>
          <w:szCs w:val="24"/>
          <w:lang w:val="es-AR"/>
        </w:rPr>
        <w:t>remite  entre</w:t>
      </w:r>
      <w:proofErr w:type="gramEnd"/>
      <w:r w:rsidR="00EC7BEF" w:rsidRPr="003522C1">
        <w:rPr>
          <w:rFonts w:ascii="Arial" w:hAnsi="Arial" w:cs="Arial"/>
          <w:sz w:val="24"/>
          <w:szCs w:val="24"/>
          <w:lang w:val="es-AR"/>
        </w:rPr>
        <w:t xml:space="preserve"> </w:t>
      </w:r>
      <w:r w:rsidR="00F2273E" w:rsidRPr="003522C1">
        <w:rPr>
          <w:rFonts w:ascii="Arial" w:hAnsi="Arial" w:cs="Arial"/>
          <w:sz w:val="24"/>
          <w:szCs w:val="24"/>
          <w:lang w:val="es-AR"/>
        </w:rPr>
        <w:t xml:space="preserve"> otros, </w:t>
      </w:r>
      <w:r w:rsidR="00EC7BEF" w:rsidRPr="003522C1">
        <w:rPr>
          <w:rFonts w:ascii="Arial" w:hAnsi="Arial" w:cs="Arial"/>
          <w:sz w:val="24"/>
          <w:szCs w:val="24"/>
          <w:lang w:val="es-AR"/>
        </w:rPr>
        <w:t>al</w:t>
      </w:r>
      <w:r w:rsidR="00F2273E" w:rsidRPr="003522C1">
        <w:rPr>
          <w:rFonts w:ascii="Arial" w:hAnsi="Arial" w:cs="Arial"/>
          <w:sz w:val="24"/>
          <w:szCs w:val="24"/>
          <w:lang w:val="es-AR"/>
        </w:rPr>
        <w:t xml:space="preserve"> caso “</w:t>
      </w:r>
      <w:r w:rsidR="00910107" w:rsidRPr="003522C1">
        <w:rPr>
          <w:rFonts w:ascii="Arial" w:hAnsi="Arial" w:cs="Arial"/>
          <w:sz w:val="24"/>
          <w:szCs w:val="24"/>
          <w:lang w:val="es-AR"/>
        </w:rPr>
        <w:t>Pérez</w:t>
      </w:r>
      <w:r w:rsidR="00F2273E" w:rsidRPr="003522C1">
        <w:rPr>
          <w:rFonts w:ascii="Arial" w:hAnsi="Arial" w:cs="Arial"/>
          <w:sz w:val="24"/>
          <w:szCs w:val="24"/>
          <w:lang w:val="es-AR"/>
        </w:rPr>
        <w:t xml:space="preserve"> y otros vs Venezuela. </w:t>
      </w:r>
      <w:proofErr w:type="spellStart"/>
      <w:r w:rsidR="00F2273E" w:rsidRPr="003522C1">
        <w:rPr>
          <w:rFonts w:ascii="Arial" w:hAnsi="Arial" w:cs="Arial"/>
          <w:sz w:val="24"/>
          <w:szCs w:val="24"/>
          <w:lang w:val="es-AR"/>
        </w:rPr>
        <w:t>Sent</w:t>
      </w:r>
      <w:proofErr w:type="spellEnd"/>
      <w:r w:rsidR="00D871F1" w:rsidRPr="003522C1">
        <w:rPr>
          <w:rFonts w:ascii="Arial" w:hAnsi="Arial" w:cs="Arial"/>
          <w:sz w:val="24"/>
          <w:szCs w:val="24"/>
          <w:lang w:val="es-AR"/>
        </w:rPr>
        <w:t>.</w:t>
      </w:r>
      <w:r w:rsidR="00F2273E" w:rsidRPr="003522C1">
        <w:rPr>
          <w:rFonts w:ascii="Arial" w:hAnsi="Arial" w:cs="Arial"/>
          <w:sz w:val="24"/>
          <w:szCs w:val="24"/>
          <w:lang w:val="es-AR"/>
        </w:rPr>
        <w:t xml:space="preserve"> 28 de enero de 2009</w:t>
      </w:r>
      <w:r w:rsidR="00EC7BEF" w:rsidRPr="003522C1">
        <w:rPr>
          <w:rFonts w:ascii="Arial" w:hAnsi="Arial" w:cs="Arial"/>
          <w:sz w:val="24"/>
          <w:szCs w:val="24"/>
          <w:lang w:val="es-AR"/>
        </w:rPr>
        <w:t xml:space="preserve"> de la Corte IDH</w:t>
      </w:r>
      <w:r w:rsidR="00F2273E" w:rsidRPr="003522C1">
        <w:rPr>
          <w:rFonts w:ascii="Arial" w:hAnsi="Arial" w:cs="Arial"/>
          <w:sz w:val="24"/>
          <w:szCs w:val="24"/>
          <w:lang w:val="es-AR"/>
        </w:rPr>
        <w:t>)</w:t>
      </w:r>
      <w:r w:rsidR="00737175" w:rsidRPr="003522C1">
        <w:rPr>
          <w:rFonts w:ascii="Arial" w:hAnsi="Arial" w:cs="Arial"/>
          <w:sz w:val="24"/>
          <w:szCs w:val="24"/>
          <w:lang w:val="es-AR"/>
        </w:rPr>
        <w:t>.</w:t>
      </w:r>
      <w:r w:rsidRPr="003522C1">
        <w:rPr>
          <w:rFonts w:ascii="Arial" w:hAnsi="Arial" w:cs="Arial"/>
          <w:sz w:val="24"/>
          <w:szCs w:val="24"/>
          <w:lang w:val="es-AR"/>
        </w:rPr>
        <w:t xml:space="preserve"> </w:t>
      </w:r>
      <w:r w:rsidR="00F2273E" w:rsidRPr="003522C1">
        <w:rPr>
          <w:rFonts w:ascii="Arial" w:hAnsi="Arial" w:cs="Arial"/>
          <w:sz w:val="24"/>
          <w:szCs w:val="24"/>
          <w:lang w:val="es-AR"/>
        </w:rPr>
        <w:t xml:space="preserve">En el considerando 11) </w:t>
      </w:r>
      <w:r w:rsidR="00C011E3" w:rsidRPr="003522C1">
        <w:rPr>
          <w:rFonts w:ascii="Arial" w:hAnsi="Arial" w:cs="Arial"/>
          <w:sz w:val="24"/>
          <w:szCs w:val="24"/>
          <w:lang w:val="es-AR"/>
        </w:rPr>
        <w:t>la Corte entiende que dejar sin efecto la sentencia dictada por ella en virtud de la orden de la Corte Interamericana, es sinónimo de “revocar”, lo que implicaría transformar a dicho tribunal, en una “cuarta instancia” revisora de las sentencias dictadas por esta Corte, en clara violación a los principios estructurales del sistema interamericano y en exceso de las obligaciones convencionalmente asumidas por el Estado.</w:t>
      </w:r>
      <w:r w:rsidRPr="003522C1">
        <w:rPr>
          <w:rFonts w:ascii="Arial" w:hAnsi="Arial" w:cs="Arial"/>
          <w:sz w:val="24"/>
          <w:szCs w:val="24"/>
          <w:lang w:val="es-AR"/>
        </w:rPr>
        <w:t xml:space="preserve"> </w:t>
      </w:r>
      <w:r w:rsidR="00C011E3" w:rsidRPr="003522C1">
        <w:rPr>
          <w:rFonts w:ascii="Arial" w:hAnsi="Arial" w:cs="Arial"/>
          <w:sz w:val="24"/>
          <w:szCs w:val="24"/>
          <w:lang w:val="es-AR"/>
        </w:rPr>
        <w:t xml:space="preserve">En el considerando 12 y 13) la Corte pone de manifiesto que al ordenar la Corte de San </w:t>
      </w:r>
      <w:r w:rsidR="00737175" w:rsidRPr="003522C1">
        <w:rPr>
          <w:rFonts w:ascii="Arial" w:hAnsi="Arial" w:cs="Arial"/>
          <w:sz w:val="24"/>
          <w:szCs w:val="24"/>
          <w:lang w:val="es-AR"/>
        </w:rPr>
        <w:t>José</w:t>
      </w:r>
      <w:r w:rsidR="00C011E3" w:rsidRPr="003522C1">
        <w:rPr>
          <w:rFonts w:ascii="Arial" w:hAnsi="Arial" w:cs="Arial"/>
          <w:sz w:val="24"/>
          <w:szCs w:val="24"/>
          <w:lang w:val="es-AR"/>
        </w:rPr>
        <w:t xml:space="preserve"> dejar sin efecto la sentencia dictada por ella, pasada en autoridad de cosa juzgada, ha recurrido a un mecanismo restitutivo que no se encuentra previsto en </w:t>
      </w:r>
      <w:proofErr w:type="gramStart"/>
      <w:r w:rsidR="00C011E3" w:rsidRPr="003522C1">
        <w:rPr>
          <w:rFonts w:ascii="Arial" w:hAnsi="Arial" w:cs="Arial"/>
          <w:sz w:val="24"/>
          <w:szCs w:val="24"/>
          <w:lang w:val="es-AR"/>
        </w:rPr>
        <w:t>el</w:t>
      </w:r>
      <w:r w:rsidR="00C52C1B" w:rsidRPr="003522C1">
        <w:rPr>
          <w:rFonts w:ascii="Arial" w:hAnsi="Arial" w:cs="Arial"/>
          <w:sz w:val="24"/>
          <w:szCs w:val="24"/>
          <w:lang w:val="es-AR"/>
        </w:rPr>
        <w:t xml:space="preserve">  texto</w:t>
      </w:r>
      <w:proofErr w:type="gramEnd"/>
      <w:r w:rsidR="00C52C1B" w:rsidRPr="003522C1">
        <w:rPr>
          <w:rFonts w:ascii="Arial" w:hAnsi="Arial" w:cs="Arial"/>
          <w:sz w:val="24"/>
          <w:szCs w:val="24"/>
          <w:lang w:val="es-AR"/>
        </w:rPr>
        <w:t xml:space="preserve"> convencional y recurre</w:t>
      </w:r>
      <w:r w:rsidR="00C011E3" w:rsidRPr="003522C1">
        <w:rPr>
          <w:rFonts w:ascii="Arial" w:hAnsi="Arial" w:cs="Arial"/>
          <w:sz w:val="24"/>
          <w:szCs w:val="24"/>
          <w:lang w:val="es-AR"/>
        </w:rPr>
        <w:t xml:space="preserve"> al art.31 de la </w:t>
      </w:r>
      <w:r w:rsidR="00834FD6" w:rsidRPr="003522C1">
        <w:rPr>
          <w:rFonts w:ascii="Arial" w:hAnsi="Arial" w:cs="Arial"/>
          <w:sz w:val="24"/>
          <w:szCs w:val="24"/>
          <w:lang w:val="es-AR"/>
        </w:rPr>
        <w:t>Convención</w:t>
      </w:r>
      <w:r w:rsidR="00C011E3" w:rsidRPr="003522C1">
        <w:rPr>
          <w:rFonts w:ascii="Arial" w:hAnsi="Arial" w:cs="Arial"/>
          <w:sz w:val="24"/>
          <w:szCs w:val="24"/>
          <w:lang w:val="es-AR"/>
        </w:rPr>
        <w:t xml:space="preserve"> de Viena sobre los Tratados que determina los límites de  la competencia remedial  de los tribunales internacionales</w:t>
      </w:r>
      <w:r w:rsidR="00834FD6" w:rsidRPr="003522C1">
        <w:rPr>
          <w:rFonts w:ascii="Arial" w:hAnsi="Arial" w:cs="Arial"/>
          <w:sz w:val="24"/>
          <w:szCs w:val="24"/>
          <w:lang w:val="es-AR"/>
        </w:rPr>
        <w:t xml:space="preserve"> y al art.32</w:t>
      </w:r>
      <w:r w:rsidR="00C011E3" w:rsidRPr="003522C1">
        <w:rPr>
          <w:rFonts w:ascii="Arial" w:hAnsi="Arial" w:cs="Arial"/>
          <w:sz w:val="24"/>
          <w:szCs w:val="24"/>
          <w:lang w:val="es-AR"/>
        </w:rPr>
        <w:t>.</w:t>
      </w:r>
      <w:r w:rsidR="00834FD6" w:rsidRPr="003522C1">
        <w:rPr>
          <w:rFonts w:ascii="Arial" w:hAnsi="Arial" w:cs="Arial"/>
          <w:sz w:val="24"/>
          <w:szCs w:val="24"/>
          <w:lang w:val="es-AR"/>
        </w:rPr>
        <w:t xml:space="preserve"> </w:t>
      </w:r>
      <w:proofErr w:type="gramStart"/>
      <w:r w:rsidR="00834FD6" w:rsidRPr="003522C1">
        <w:rPr>
          <w:rFonts w:ascii="Arial" w:hAnsi="Arial" w:cs="Arial"/>
          <w:sz w:val="24"/>
          <w:szCs w:val="24"/>
          <w:lang w:val="es-AR"/>
        </w:rPr>
        <w:t>Asimismo</w:t>
      </w:r>
      <w:proofErr w:type="gramEnd"/>
      <w:r w:rsidR="00834FD6" w:rsidRPr="003522C1">
        <w:rPr>
          <w:rFonts w:ascii="Arial" w:hAnsi="Arial" w:cs="Arial"/>
          <w:sz w:val="24"/>
          <w:szCs w:val="24"/>
          <w:lang w:val="es-AR"/>
        </w:rPr>
        <w:t xml:space="preserve"> recalca que el art.63.1 CADH no contempla la posibilidad que la Corte Interamericana disponga que se deje sin efecto una sentencia dictada en orden nacional.</w:t>
      </w:r>
      <w:r w:rsidRPr="003522C1">
        <w:rPr>
          <w:rFonts w:ascii="Arial" w:hAnsi="Arial" w:cs="Arial"/>
          <w:sz w:val="24"/>
          <w:szCs w:val="24"/>
          <w:lang w:val="es-AR"/>
        </w:rPr>
        <w:t xml:space="preserve"> </w:t>
      </w:r>
      <w:r w:rsidR="00AC2102" w:rsidRPr="003522C1">
        <w:rPr>
          <w:rFonts w:ascii="Arial" w:hAnsi="Arial" w:cs="Arial"/>
          <w:sz w:val="24"/>
          <w:szCs w:val="24"/>
          <w:lang w:val="es-AR"/>
        </w:rPr>
        <w:t>En el considerando 16) la Corte resal</w:t>
      </w:r>
      <w:r w:rsidR="0066672B" w:rsidRPr="003522C1">
        <w:rPr>
          <w:rFonts w:ascii="Arial" w:hAnsi="Arial" w:cs="Arial"/>
          <w:sz w:val="24"/>
          <w:szCs w:val="24"/>
          <w:lang w:val="es-AR"/>
        </w:rPr>
        <w:t xml:space="preserve">ta que dejar sin efecto </w:t>
      </w:r>
      <w:r w:rsidR="0066672B" w:rsidRPr="003522C1">
        <w:rPr>
          <w:rFonts w:ascii="Arial" w:hAnsi="Arial" w:cs="Arial"/>
          <w:sz w:val="24"/>
          <w:szCs w:val="24"/>
          <w:lang w:val="es-AR"/>
        </w:rPr>
        <w:lastRenderedPageBreak/>
        <w:t xml:space="preserve">la sentencia dictada por ella pasada en </w:t>
      </w:r>
      <w:r w:rsidR="00737175" w:rsidRPr="003522C1">
        <w:rPr>
          <w:rFonts w:ascii="Arial" w:hAnsi="Arial" w:cs="Arial"/>
          <w:sz w:val="24"/>
          <w:szCs w:val="24"/>
          <w:lang w:val="es-AR"/>
        </w:rPr>
        <w:t>autoridad</w:t>
      </w:r>
      <w:r w:rsidR="0066672B" w:rsidRPr="003522C1">
        <w:rPr>
          <w:rFonts w:ascii="Arial" w:hAnsi="Arial" w:cs="Arial"/>
          <w:sz w:val="24"/>
          <w:szCs w:val="24"/>
          <w:lang w:val="es-AR"/>
        </w:rPr>
        <w:t xml:space="preserve"> de cosa juzgada, es un supuesto en que la restitución resulta </w:t>
      </w:r>
      <w:r w:rsidR="00737175" w:rsidRPr="003522C1">
        <w:rPr>
          <w:rFonts w:ascii="Arial" w:hAnsi="Arial" w:cs="Arial"/>
          <w:sz w:val="24"/>
          <w:szCs w:val="24"/>
          <w:lang w:val="es-AR"/>
        </w:rPr>
        <w:t>jurídicamente</w:t>
      </w:r>
      <w:r w:rsidR="0066672B" w:rsidRPr="003522C1">
        <w:rPr>
          <w:rFonts w:ascii="Arial" w:hAnsi="Arial" w:cs="Arial"/>
          <w:sz w:val="24"/>
          <w:szCs w:val="24"/>
          <w:lang w:val="es-AR"/>
        </w:rPr>
        <w:t xml:space="preserve"> imposible a la luz de los principios fundamentales del </w:t>
      </w:r>
      <w:proofErr w:type="gramStart"/>
      <w:r w:rsidR="0066672B" w:rsidRPr="003522C1">
        <w:rPr>
          <w:rFonts w:ascii="Arial" w:hAnsi="Arial" w:cs="Arial"/>
          <w:sz w:val="24"/>
          <w:szCs w:val="24"/>
          <w:lang w:val="es-AR"/>
        </w:rPr>
        <w:t>derecho  público</w:t>
      </w:r>
      <w:proofErr w:type="gramEnd"/>
      <w:r w:rsidR="0066672B" w:rsidRPr="003522C1">
        <w:rPr>
          <w:rFonts w:ascii="Arial" w:hAnsi="Arial" w:cs="Arial"/>
          <w:sz w:val="24"/>
          <w:szCs w:val="24"/>
          <w:lang w:val="es-AR"/>
        </w:rPr>
        <w:t xml:space="preserve"> argentino. Que el constituyente ha consagrado en el art.27 de la Constitución Nacional una esfera de reserva soberana, delimitada por los principios de derecho público establecido en la Constitución Nacional, a lo cuales los tratados internacionales deben ajustarse y con los cuales deben guardar conformidad.</w:t>
      </w:r>
      <w:r w:rsidRPr="003522C1">
        <w:rPr>
          <w:rFonts w:ascii="Arial" w:hAnsi="Arial" w:cs="Arial"/>
          <w:sz w:val="24"/>
          <w:szCs w:val="24"/>
          <w:lang w:val="es-AR"/>
        </w:rPr>
        <w:t xml:space="preserve"> </w:t>
      </w:r>
      <w:r w:rsidR="0066672B" w:rsidRPr="003522C1">
        <w:rPr>
          <w:rFonts w:ascii="Arial" w:hAnsi="Arial" w:cs="Arial"/>
          <w:sz w:val="24"/>
          <w:szCs w:val="24"/>
          <w:lang w:val="es-AR"/>
        </w:rPr>
        <w:t>En el considerando 17</w:t>
      </w:r>
      <w:r w:rsidR="00EC7BEF" w:rsidRPr="003522C1">
        <w:rPr>
          <w:rFonts w:ascii="Arial" w:hAnsi="Arial" w:cs="Arial"/>
          <w:sz w:val="24"/>
          <w:szCs w:val="24"/>
          <w:lang w:val="es-AR"/>
        </w:rPr>
        <w:t xml:space="preserve"> y</w:t>
      </w:r>
      <w:r w:rsidR="0066672B" w:rsidRPr="003522C1">
        <w:rPr>
          <w:rFonts w:ascii="Arial" w:hAnsi="Arial" w:cs="Arial"/>
          <w:sz w:val="24"/>
          <w:szCs w:val="24"/>
          <w:lang w:val="es-AR"/>
        </w:rPr>
        <w:t xml:space="preserve"> 18) argumenta que entre los principios inconmovibles se encuentra el carácter de la CSJN como órgano supremo y cabeza del Poder Judicial, conforme surge del art.108 de la Constitución Nacional.</w:t>
      </w:r>
      <w:r w:rsidRPr="003522C1">
        <w:rPr>
          <w:rFonts w:ascii="Arial" w:hAnsi="Arial" w:cs="Arial"/>
          <w:sz w:val="24"/>
          <w:szCs w:val="24"/>
          <w:lang w:val="es-AR"/>
        </w:rPr>
        <w:t xml:space="preserve"> </w:t>
      </w:r>
      <w:r w:rsidR="00EC7BEF" w:rsidRPr="003522C1">
        <w:rPr>
          <w:rFonts w:ascii="Arial" w:hAnsi="Arial" w:cs="Arial"/>
          <w:sz w:val="24"/>
          <w:szCs w:val="24"/>
          <w:lang w:val="es-AR"/>
        </w:rPr>
        <w:t>En el considerando 19) Interpreta el art.27 CN en el sentido que no ha sido alterado por la reforma Constitucional del 1994, toda vez que el constituyente al otorgar jerarquía constitucional a la CADH entre otros tratados internacionales sobre derechos humanos, expresa que sus normas “no derogan articulo alguno de la primera parte de esta Constitución” reafirmando la plena vigencia de los principios de derecho público establecidos en la norma fundamental como valladar infranqueable para los tratados internacionales.</w:t>
      </w:r>
      <w:r w:rsidRPr="003522C1">
        <w:rPr>
          <w:rFonts w:ascii="Arial" w:hAnsi="Arial" w:cs="Arial"/>
          <w:sz w:val="24"/>
          <w:szCs w:val="24"/>
          <w:lang w:val="es-AR"/>
        </w:rPr>
        <w:t xml:space="preserve"> </w:t>
      </w:r>
      <w:r w:rsidR="00EC7BEF" w:rsidRPr="003522C1">
        <w:rPr>
          <w:rFonts w:ascii="Arial" w:hAnsi="Arial" w:cs="Arial"/>
          <w:sz w:val="24"/>
          <w:szCs w:val="24"/>
          <w:lang w:val="es-AR"/>
        </w:rPr>
        <w:t xml:space="preserve">En el considerando 20) concluye que no corresponde hacer lugar a los solicitado por la Secretaria de Derechos Humanos de la </w:t>
      </w:r>
      <w:r w:rsidR="00737175" w:rsidRPr="003522C1">
        <w:rPr>
          <w:rFonts w:ascii="Arial" w:hAnsi="Arial" w:cs="Arial"/>
          <w:sz w:val="24"/>
          <w:szCs w:val="24"/>
          <w:lang w:val="es-AR"/>
        </w:rPr>
        <w:t>Nación</w:t>
      </w:r>
      <w:r w:rsidR="00EC7BEF" w:rsidRPr="003522C1">
        <w:rPr>
          <w:rFonts w:ascii="Arial" w:hAnsi="Arial" w:cs="Arial"/>
          <w:sz w:val="24"/>
          <w:szCs w:val="24"/>
          <w:lang w:val="es-AR"/>
        </w:rPr>
        <w:t xml:space="preserve">. Si bien no niega el carácter vinculante a las decisiones de la Corte </w:t>
      </w:r>
      <w:proofErr w:type="gramStart"/>
      <w:r w:rsidR="00EC7BEF" w:rsidRPr="003522C1">
        <w:rPr>
          <w:rFonts w:ascii="Arial" w:hAnsi="Arial" w:cs="Arial"/>
          <w:sz w:val="24"/>
          <w:szCs w:val="24"/>
          <w:lang w:val="es-AR"/>
        </w:rPr>
        <w:t>Internacional,  sino</w:t>
      </w:r>
      <w:proofErr w:type="gramEnd"/>
      <w:r w:rsidR="00EC7BEF" w:rsidRPr="003522C1">
        <w:rPr>
          <w:rFonts w:ascii="Arial" w:hAnsi="Arial" w:cs="Arial"/>
          <w:sz w:val="24"/>
          <w:szCs w:val="24"/>
          <w:lang w:val="es-AR"/>
        </w:rPr>
        <w:t xml:space="preserve"> que su</w:t>
      </w:r>
      <w:r w:rsidR="00737175" w:rsidRPr="003522C1">
        <w:rPr>
          <w:rFonts w:ascii="Arial" w:hAnsi="Arial" w:cs="Arial"/>
          <w:sz w:val="24"/>
          <w:szCs w:val="24"/>
          <w:lang w:val="es-AR"/>
        </w:rPr>
        <w:t>pedita su</w:t>
      </w:r>
      <w:r w:rsidR="00EC7BEF" w:rsidRPr="003522C1">
        <w:rPr>
          <w:rFonts w:ascii="Arial" w:hAnsi="Arial" w:cs="Arial"/>
          <w:sz w:val="24"/>
          <w:szCs w:val="24"/>
          <w:lang w:val="es-AR"/>
        </w:rPr>
        <w:t xml:space="preserve"> obligatoriedad </w:t>
      </w:r>
      <w:r w:rsidR="00737175" w:rsidRPr="003522C1">
        <w:rPr>
          <w:rFonts w:ascii="Arial" w:hAnsi="Arial" w:cs="Arial"/>
          <w:sz w:val="24"/>
          <w:szCs w:val="24"/>
          <w:lang w:val="es-AR"/>
        </w:rPr>
        <w:t>68.1</w:t>
      </w:r>
      <w:r w:rsidR="00C243F7" w:rsidRPr="003522C1">
        <w:rPr>
          <w:rFonts w:ascii="Arial" w:hAnsi="Arial" w:cs="Arial"/>
          <w:sz w:val="24"/>
          <w:szCs w:val="24"/>
          <w:lang w:val="es-AR"/>
        </w:rPr>
        <w:t>)</w:t>
      </w:r>
      <w:r w:rsidR="0065337F" w:rsidRPr="003522C1">
        <w:rPr>
          <w:rFonts w:ascii="Arial" w:hAnsi="Arial" w:cs="Arial"/>
          <w:sz w:val="24"/>
          <w:szCs w:val="24"/>
          <w:lang w:val="es-AR"/>
        </w:rPr>
        <w:t>CADH</w:t>
      </w:r>
      <w:r w:rsidR="00737175" w:rsidRPr="003522C1">
        <w:rPr>
          <w:rFonts w:ascii="Arial" w:hAnsi="Arial" w:cs="Arial"/>
          <w:sz w:val="24"/>
          <w:szCs w:val="24"/>
          <w:lang w:val="es-AR"/>
        </w:rPr>
        <w:t xml:space="preserve"> a la</w:t>
      </w:r>
      <w:r w:rsidR="00EC7BEF" w:rsidRPr="003522C1">
        <w:rPr>
          <w:rFonts w:ascii="Arial" w:hAnsi="Arial" w:cs="Arial"/>
          <w:sz w:val="24"/>
          <w:szCs w:val="24"/>
          <w:lang w:val="es-AR"/>
        </w:rPr>
        <w:t xml:space="preserve"> materia sobre la cual tiene competencia el</w:t>
      </w:r>
      <w:r w:rsidR="00C243F7" w:rsidRPr="003522C1">
        <w:rPr>
          <w:rFonts w:ascii="Arial" w:hAnsi="Arial" w:cs="Arial"/>
          <w:sz w:val="24"/>
          <w:szCs w:val="24"/>
          <w:lang w:val="es-AR"/>
        </w:rPr>
        <w:t xml:space="preserve"> tribunal internacional (art.63</w:t>
      </w:r>
      <w:r w:rsidR="00EC7BEF" w:rsidRPr="003522C1">
        <w:rPr>
          <w:rFonts w:ascii="Arial" w:hAnsi="Arial" w:cs="Arial"/>
          <w:sz w:val="24"/>
          <w:szCs w:val="24"/>
          <w:lang w:val="es-AR"/>
        </w:rPr>
        <w:t xml:space="preserve"> CADH, arts.27,75 inc.22 y 108 Constitución Nacional)</w:t>
      </w:r>
      <w:r w:rsidR="00E04C70" w:rsidRPr="003522C1">
        <w:rPr>
          <w:rFonts w:ascii="Arial" w:hAnsi="Arial" w:cs="Arial"/>
          <w:sz w:val="24"/>
          <w:szCs w:val="24"/>
          <w:lang w:val="es-AR"/>
        </w:rPr>
        <w:t>.</w:t>
      </w:r>
      <w:r w:rsidRPr="003522C1">
        <w:rPr>
          <w:rFonts w:ascii="Arial" w:hAnsi="Arial" w:cs="Arial"/>
          <w:sz w:val="24"/>
          <w:szCs w:val="24"/>
          <w:lang w:val="es-AR"/>
        </w:rPr>
        <w:t xml:space="preserve"> </w:t>
      </w:r>
      <w:r w:rsidR="00D871F1" w:rsidRPr="003522C1">
        <w:rPr>
          <w:rFonts w:ascii="Arial" w:hAnsi="Arial" w:cs="Arial"/>
          <w:color w:val="000000"/>
          <w:sz w:val="24"/>
          <w:szCs w:val="24"/>
        </w:rPr>
        <w:t>El Sr. Ministro</w:t>
      </w:r>
      <w:r w:rsidR="0065337F" w:rsidRPr="003522C1">
        <w:rPr>
          <w:rFonts w:ascii="Arial" w:hAnsi="Arial" w:cs="Arial"/>
          <w:color w:val="000000"/>
          <w:sz w:val="24"/>
          <w:szCs w:val="24"/>
        </w:rPr>
        <w:t xml:space="preserve"> </w:t>
      </w:r>
      <w:proofErr w:type="spellStart"/>
      <w:r w:rsidR="00E04C70" w:rsidRPr="003522C1">
        <w:rPr>
          <w:rFonts w:ascii="Arial" w:hAnsi="Arial" w:cs="Arial"/>
          <w:color w:val="000000"/>
          <w:sz w:val="24"/>
          <w:szCs w:val="24"/>
        </w:rPr>
        <w:t>Rosatti</w:t>
      </w:r>
      <w:proofErr w:type="spellEnd"/>
      <w:r w:rsidR="00E04C70" w:rsidRPr="003522C1">
        <w:rPr>
          <w:rFonts w:ascii="Arial" w:hAnsi="Arial" w:cs="Arial"/>
          <w:color w:val="000000"/>
          <w:sz w:val="24"/>
          <w:szCs w:val="24"/>
        </w:rPr>
        <w:t xml:space="preserve"> en su voto compartió en lo fundamental, los argumentos expuestos por la </w:t>
      </w:r>
      <w:r w:rsidR="00D25487" w:rsidRPr="003522C1">
        <w:rPr>
          <w:rFonts w:ascii="Arial" w:hAnsi="Arial" w:cs="Arial"/>
          <w:color w:val="000000"/>
          <w:sz w:val="24"/>
          <w:szCs w:val="24"/>
        </w:rPr>
        <w:t>mayoría</w:t>
      </w:r>
      <w:r w:rsidR="00E04C70" w:rsidRPr="003522C1">
        <w:rPr>
          <w:rFonts w:ascii="Arial" w:hAnsi="Arial" w:cs="Arial"/>
          <w:color w:val="000000"/>
          <w:sz w:val="24"/>
          <w:szCs w:val="24"/>
        </w:rPr>
        <w:t xml:space="preserve"> y </w:t>
      </w:r>
      <w:r w:rsidR="00D871F1" w:rsidRPr="003522C1">
        <w:rPr>
          <w:rFonts w:ascii="Arial" w:hAnsi="Arial" w:cs="Arial"/>
          <w:color w:val="000000"/>
          <w:sz w:val="24"/>
          <w:szCs w:val="24"/>
        </w:rPr>
        <w:t>recalcó</w:t>
      </w:r>
      <w:r w:rsidR="00D25487" w:rsidRPr="003522C1">
        <w:rPr>
          <w:rFonts w:ascii="Arial" w:hAnsi="Arial" w:cs="Arial"/>
          <w:color w:val="000000"/>
          <w:sz w:val="24"/>
          <w:szCs w:val="24"/>
        </w:rPr>
        <w:t xml:space="preserve"> el margen de apreciación nacional de la Corte Suprema en la aplicación de las decisiones internacionales (con base en los arts. 75 inc. 22 y 27 de la Constitución </w:t>
      </w:r>
      <w:r w:rsidR="00D25487" w:rsidRPr="003522C1">
        <w:rPr>
          <w:rFonts w:ascii="Arial" w:hAnsi="Arial" w:cs="Arial"/>
          <w:color w:val="000000"/>
          <w:sz w:val="24"/>
          <w:szCs w:val="24"/>
        </w:rPr>
        <w:lastRenderedPageBreak/>
        <w:t>Nacional).Sostiene</w:t>
      </w:r>
      <w:r w:rsidR="00E04C70" w:rsidRPr="003522C1">
        <w:rPr>
          <w:rFonts w:ascii="Arial" w:hAnsi="Arial" w:cs="Arial"/>
          <w:color w:val="000000"/>
          <w:sz w:val="24"/>
          <w:szCs w:val="24"/>
        </w:rPr>
        <w:t xml:space="preserve"> que en un contexto de “diálogo jurisprudencial” que</w:t>
      </w:r>
      <w:r w:rsidR="00D25487" w:rsidRPr="003522C1">
        <w:rPr>
          <w:rFonts w:ascii="Arial" w:hAnsi="Arial" w:cs="Arial"/>
          <w:color w:val="000000"/>
          <w:sz w:val="24"/>
          <w:szCs w:val="24"/>
        </w:rPr>
        <w:t xml:space="preserve"> procure mantener la convergencia decisional entre los órganos con competencias para dirimir conflictos en los ámbitos nacional e internacional, reconociendo a la Corte IDH como ultimo interprete de la CADH ( arts.62 puntos 1 y 3 CADH) y a la Corte Suprema de Justicia de la </w:t>
      </w:r>
      <w:r w:rsidR="00D871F1" w:rsidRPr="003522C1">
        <w:rPr>
          <w:rFonts w:ascii="Arial" w:hAnsi="Arial" w:cs="Arial"/>
          <w:color w:val="000000"/>
          <w:sz w:val="24"/>
          <w:szCs w:val="24"/>
        </w:rPr>
        <w:t>Nación</w:t>
      </w:r>
      <w:r w:rsidR="00D25487" w:rsidRPr="003522C1">
        <w:rPr>
          <w:rFonts w:ascii="Arial" w:hAnsi="Arial" w:cs="Arial"/>
          <w:color w:val="000000"/>
          <w:sz w:val="24"/>
          <w:szCs w:val="24"/>
        </w:rPr>
        <w:t xml:space="preserve">  como último interprete de la de la Constitución Nacional ( arts.116 y 117 de la Constitución Nacional)</w:t>
      </w:r>
      <w:r w:rsidR="00E04C70" w:rsidRPr="003522C1">
        <w:rPr>
          <w:rFonts w:ascii="Arial" w:hAnsi="Arial" w:cs="Arial"/>
          <w:color w:val="000000"/>
          <w:sz w:val="24"/>
          <w:szCs w:val="24"/>
        </w:rPr>
        <w:t xml:space="preserve"> </w:t>
      </w:r>
      <w:r w:rsidR="00D25487" w:rsidRPr="003522C1">
        <w:rPr>
          <w:rFonts w:ascii="Arial" w:hAnsi="Arial" w:cs="Arial"/>
          <w:color w:val="000000"/>
          <w:sz w:val="24"/>
          <w:szCs w:val="24"/>
        </w:rPr>
        <w:t xml:space="preserve">, </w:t>
      </w:r>
      <w:r w:rsidR="00E04C70" w:rsidRPr="003522C1">
        <w:rPr>
          <w:rFonts w:ascii="Arial" w:hAnsi="Arial" w:cs="Arial"/>
          <w:color w:val="000000"/>
          <w:sz w:val="24"/>
          <w:szCs w:val="24"/>
        </w:rPr>
        <w:t xml:space="preserve"> por lo que ha</w:t>
      </w:r>
      <w:r w:rsidR="00D25487" w:rsidRPr="003522C1">
        <w:rPr>
          <w:rFonts w:ascii="Arial" w:hAnsi="Arial" w:cs="Arial"/>
          <w:color w:val="000000"/>
          <w:sz w:val="24"/>
          <w:szCs w:val="24"/>
        </w:rPr>
        <w:t>y que lograr que sus criterios, en cada caso concreto,</w:t>
      </w:r>
      <w:r w:rsidR="00E04C70" w:rsidRPr="003522C1">
        <w:rPr>
          <w:rFonts w:ascii="Arial" w:hAnsi="Arial" w:cs="Arial"/>
          <w:color w:val="000000"/>
          <w:sz w:val="24"/>
          <w:szCs w:val="24"/>
        </w:rPr>
        <w:t xml:space="preserve"> se </w:t>
      </w:r>
      <w:r w:rsidR="00D871F1" w:rsidRPr="003522C1">
        <w:rPr>
          <w:rFonts w:ascii="Arial" w:hAnsi="Arial" w:cs="Arial"/>
          <w:color w:val="000000"/>
          <w:sz w:val="24"/>
          <w:szCs w:val="24"/>
        </w:rPr>
        <w:t>integren</w:t>
      </w:r>
      <w:r w:rsidR="00C52C1B" w:rsidRPr="003522C1">
        <w:rPr>
          <w:rFonts w:ascii="Arial" w:hAnsi="Arial" w:cs="Arial"/>
          <w:color w:val="000000"/>
          <w:sz w:val="24"/>
          <w:szCs w:val="24"/>
        </w:rPr>
        <w:t xml:space="preserve"> y no colisionen a los fines de salvaguardar la institucionalidad de ambos órganos.</w:t>
      </w:r>
      <w:r w:rsidRPr="003522C1">
        <w:rPr>
          <w:rFonts w:ascii="Arial" w:hAnsi="Arial" w:cs="Arial"/>
          <w:color w:val="000000"/>
          <w:sz w:val="24"/>
          <w:szCs w:val="24"/>
        </w:rPr>
        <w:t xml:space="preserve"> </w:t>
      </w:r>
      <w:r w:rsidR="00E04C70" w:rsidRPr="003522C1">
        <w:rPr>
          <w:rFonts w:ascii="Arial" w:hAnsi="Arial" w:cs="Arial"/>
          <w:color w:val="000000"/>
          <w:sz w:val="24"/>
          <w:szCs w:val="24"/>
        </w:rPr>
        <w:t>Concluyó que la reparación encuentra adecuada satisfacción mediante las medidas de publicación del pronunciamiento internacional</w:t>
      </w:r>
      <w:r w:rsidR="00C82763" w:rsidRPr="003522C1">
        <w:rPr>
          <w:rFonts w:ascii="Arial" w:hAnsi="Arial" w:cs="Arial"/>
          <w:color w:val="000000"/>
          <w:sz w:val="24"/>
          <w:szCs w:val="24"/>
        </w:rPr>
        <w:t xml:space="preserve"> y que en atención al reintegro de los montos de condena oportunamente fijados por la CSJN como las reparaciones admitidas en sede internacional</w:t>
      </w:r>
      <w:r w:rsidR="00D36E43" w:rsidRPr="003522C1">
        <w:rPr>
          <w:rFonts w:ascii="Arial" w:hAnsi="Arial" w:cs="Arial"/>
          <w:color w:val="000000"/>
          <w:sz w:val="24"/>
          <w:szCs w:val="24"/>
        </w:rPr>
        <w:t xml:space="preserve"> no resulta necesario la intervención judicial para que el estado argentino proceda voluntariamente a su cumplimiento</w:t>
      </w:r>
      <w:r w:rsidR="006E7AE4" w:rsidRPr="003522C1">
        <w:rPr>
          <w:rFonts w:ascii="Arial" w:hAnsi="Arial" w:cs="Arial"/>
          <w:color w:val="000000"/>
          <w:sz w:val="24"/>
          <w:szCs w:val="24"/>
        </w:rPr>
        <w:t>,</w:t>
      </w:r>
      <w:r w:rsidR="00E04C70" w:rsidRPr="003522C1">
        <w:rPr>
          <w:rFonts w:ascii="Arial" w:hAnsi="Arial" w:cs="Arial"/>
          <w:sz w:val="24"/>
          <w:szCs w:val="24"/>
        </w:rPr>
        <w:t xml:space="preserve"> no resul</w:t>
      </w:r>
      <w:r w:rsidR="00E04C70" w:rsidRPr="003522C1">
        <w:rPr>
          <w:rFonts w:ascii="Arial" w:hAnsi="Arial" w:cs="Arial"/>
          <w:color w:val="000000"/>
          <w:sz w:val="24"/>
          <w:szCs w:val="24"/>
        </w:rPr>
        <w:t>tando posible la revocación formal del decisorio de la Corte Suprema</w:t>
      </w:r>
      <w:r w:rsidR="006E7AE4" w:rsidRPr="003522C1">
        <w:rPr>
          <w:rFonts w:ascii="Arial" w:hAnsi="Arial" w:cs="Arial"/>
          <w:color w:val="000000"/>
          <w:sz w:val="24"/>
          <w:szCs w:val="24"/>
        </w:rPr>
        <w:t xml:space="preserve"> de la Nación.</w:t>
      </w:r>
    </w:p>
    <w:p w:rsidR="00E04C70" w:rsidRPr="003522C1" w:rsidRDefault="006E7AE4" w:rsidP="00910107">
      <w:pPr>
        <w:pStyle w:val="NormalWeb"/>
        <w:shd w:val="clear" w:color="auto" w:fill="FFFFFF"/>
        <w:spacing w:before="0" w:beforeAutospacing="0" w:after="0" w:afterAutospacing="0" w:line="360" w:lineRule="auto"/>
        <w:jc w:val="both"/>
        <w:textAlignment w:val="baseline"/>
        <w:rPr>
          <w:rFonts w:ascii="Arial" w:hAnsi="Arial" w:cs="Arial"/>
          <w:b/>
          <w:color w:val="000000"/>
          <w:shd w:val="clear" w:color="auto" w:fill="FFFFFF"/>
        </w:rPr>
      </w:pPr>
      <w:r w:rsidRPr="003522C1">
        <w:rPr>
          <w:rFonts w:ascii="Arial" w:hAnsi="Arial" w:cs="Arial"/>
          <w:color w:val="000000"/>
        </w:rPr>
        <w:t>El Sr. M</w:t>
      </w:r>
      <w:r w:rsidR="00D871F1" w:rsidRPr="003522C1">
        <w:rPr>
          <w:rFonts w:ascii="Arial" w:hAnsi="Arial" w:cs="Arial"/>
          <w:color w:val="000000"/>
        </w:rPr>
        <w:t xml:space="preserve">inistro </w:t>
      </w:r>
      <w:r w:rsidR="00E04C70" w:rsidRPr="003522C1">
        <w:rPr>
          <w:rFonts w:ascii="Arial" w:hAnsi="Arial" w:cs="Arial"/>
          <w:color w:val="000000"/>
        </w:rPr>
        <w:t>Juan Carlos Maqueda,</w:t>
      </w:r>
      <w:r w:rsidR="0065337F" w:rsidRPr="003522C1">
        <w:rPr>
          <w:rFonts w:ascii="Arial" w:hAnsi="Arial" w:cs="Arial"/>
          <w:color w:val="000000"/>
        </w:rPr>
        <w:t xml:space="preserve"> emitió su</w:t>
      </w:r>
      <w:r w:rsidR="00E04C70" w:rsidRPr="003522C1">
        <w:rPr>
          <w:rFonts w:ascii="Arial" w:hAnsi="Arial" w:cs="Arial"/>
          <w:color w:val="000000"/>
        </w:rPr>
        <w:t xml:space="preserve"> voto en disidencia</w:t>
      </w:r>
      <w:r w:rsidR="00D871F1" w:rsidRPr="003522C1">
        <w:rPr>
          <w:rFonts w:ascii="Arial" w:hAnsi="Arial" w:cs="Arial"/>
          <w:color w:val="000000"/>
        </w:rPr>
        <w:t xml:space="preserve">, </w:t>
      </w:r>
      <w:r w:rsidR="00FE15B3" w:rsidRPr="003522C1">
        <w:rPr>
          <w:rFonts w:ascii="Arial" w:hAnsi="Arial" w:cs="Arial"/>
          <w:color w:val="000000"/>
        </w:rPr>
        <w:t>conforme la p</w:t>
      </w:r>
      <w:r w:rsidR="003522C1">
        <w:rPr>
          <w:rFonts w:ascii="Arial" w:hAnsi="Arial" w:cs="Arial"/>
          <w:color w:val="000000"/>
        </w:rPr>
        <w:t>osición asumida por el mismo en</w:t>
      </w:r>
      <w:r w:rsidR="00FE15B3" w:rsidRPr="003522C1">
        <w:rPr>
          <w:rFonts w:ascii="Arial" w:hAnsi="Arial" w:cs="Arial"/>
          <w:color w:val="000000"/>
        </w:rPr>
        <w:t xml:space="preserve"> sus votos en los fallos “Cantos” (326:2968), “Espósito” (327:5668</w:t>
      </w:r>
      <w:r w:rsidR="00E04C70" w:rsidRPr="003522C1">
        <w:rPr>
          <w:rFonts w:ascii="Arial" w:hAnsi="Arial" w:cs="Arial"/>
          <w:color w:val="000000"/>
        </w:rPr>
        <w:t>), “</w:t>
      </w:r>
      <w:r w:rsidR="00FE15B3" w:rsidRPr="003522C1">
        <w:rPr>
          <w:rFonts w:ascii="Arial" w:hAnsi="Arial" w:cs="Arial"/>
          <w:color w:val="000000"/>
        </w:rPr>
        <w:t>Derecho” (336:1024</w:t>
      </w:r>
      <w:r w:rsidR="00C52C1B" w:rsidRPr="003522C1">
        <w:rPr>
          <w:rFonts w:ascii="Arial" w:hAnsi="Arial" w:cs="Arial"/>
          <w:color w:val="000000"/>
        </w:rPr>
        <w:t xml:space="preserve">), “Carranza </w:t>
      </w:r>
      <w:proofErr w:type="spellStart"/>
      <w:proofErr w:type="gramStart"/>
      <w:r w:rsidR="00C52C1B" w:rsidRPr="003522C1">
        <w:rPr>
          <w:rFonts w:ascii="Arial" w:hAnsi="Arial" w:cs="Arial"/>
          <w:color w:val="000000"/>
        </w:rPr>
        <w:t>Lat</w:t>
      </w:r>
      <w:r w:rsidR="00FE15B3" w:rsidRPr="003522C1">
        <w:rPr>
          <w:rFonts w:ascii="Arial" w:hAnsi="Arial" w:cs="Arial"/>
          <w:color w:val="000000"/>
        </w:rPr>
        <w:t>rubesse</w:t>
      </w:r>
      <w:proofErr w:type="spellEnd"/>
      <w:r w:rsidR="00FE15B3" w:rsidRPr="003522C1">
        <w:rPr>
          <w:rFonts w:ascii="Arial" w:hAnsi="Arial" w:cs="Arial"/>
          <w:color w:val="000000"/>
        </w:rPr>
        <w:t>”(</w:t>
      </w:r>
      <w:proofErr w:type="gramEnd"/>
      <w:r w:rsidR="00FE15B3" w:rsidRPr="003522C1">
        <w:rPr>
          <w:rFonts w:ascii="Arial" w:hAnsi="Arial" w:cs="Arial"/>
          <w:color w:val="000000"/>
        </w:rPr>
        <w:t xml:space="preserve">336:1024)  </w:t>
      </w:r>
      <w:r w:rsidR="00E04C70" w:rsidRPr="003522C1">
        <w:rPr>
          <w:rFonts w:ascii="Arial" w:hAnsi="Arial" w:cs="Arial"/>
          <w:color w:val="000000"/>
        </w:rPr>
        <w:t>y “Mohamed”</w:t>
      </w:r>
      <w:r w:rsidR="00FE15B3" w:rsidRPr="003522C1">
        <w:rPr>
          <w:rFonts w:ascii="Arial" w:hAnsi="Arial" w:cs="Arial"/>
          <w:color w:val="000000"/>
        </w:rPr>
        <w:t xml:space="preserve"> ( resolución de la CSJN 477/15 del 25 de marzo de </w:t>
      </w:r>
      <w:r w:rsidR="00E04C70" w:rsidRPr="003522C1">
        <w:rPr>
          <w:rFonts w:ascii="Arial" w:hAnsi="Arial" w:cs="Arial"/>
          <w:color w:val="000000"/>
        </w:rPr>
        <w:t>2015</w:t>
      </w:r>
      <w:r w:rsidR="00FE15B3" w:rsidRPr="003522C1">
        <w:rPr>
          <w:rFonts w:ascii="Arial" w:hAnsi="Arial" w:cs="Arial"/>
          <w:color w:val="000000"/>
        </w:rPr>
        <w:t xml:space="preserve">- </w:t>
      </w:r>
      <w:proofErr w:type="spellStart"/>
      <w:r w:rsidR="00FE15B3" w:rsidRPr="003522C1">
        <w:rPr>
          <w:rFonts w:ascii="Arial" w:hAnsi="Arial" w:cs="Arial"/>
          <w:color w:val="000000"/>
        </w:rPr>
        <w:t>Expte</w:t>
      </w:r>
      <w:proofErr w:type="spellEnd"/>
      <w:r w:rsidR="008A231F">
        <w:rPr>
          <w:rFonts w:ascii="Arial" w:hAnsi="Arial" w:cs="Arial"/>
          <w:color w:val="000000"/>
        </w:rPr>
        <w:t>.</w:t>
      </w:r>
      <w:r w:rsidR="00FE15B3" w:rsidRPr="003522C1">
        <w:rPr>
          <w:rFonts w:ascii="Arial" w:hAnsi="Arial" w:cs="Arial"/>
          <w:color w:val="000000"/>
        </w:rPr>
        <w:t xml:space="preserve"> 4499/13</w:t>
      </w:r>
      <w:r w:rsidR="00E04C70" w:rsidRPr="003522C1">
        <w:rPr>
          <w:rFonts w:ascii="Arial" w:hAnsi="Arial" w:cs="Arial"/>
          <w:color w:val="000000"/>
        </w:rPr>
        <w:t>), según la cual a partir de la reforma constitucional de 1994, las sentencias de la Corte Interamericana de Derechos Humanos dictadas en causas en que la Argentina es parte deben ser cumplidas y ejecutadas por el Estado y, en consecuencia, son obligatorias para la Corte S</w:t>
      </w:r>
      <w:r w:rsidR="00D25487" w:rsidRPr="003522C1">
        <w:rPr>
          <w:rFonts w:ascii="Arial" w:hAnsi="Arial" w:cs="Arial"/>
          <w:color w:val="000000"/>
        </w:rPr>
        <w:t>uprema de Justicia de la Nación</w:t>
      </w:r>
      <w:r w:rsidR="00017DA9" w:rsidRPr="003522C1">
        <w:rPr>
          <w:rFonts w:ascii="Arial" w:hAnsi="Arial" w:cs="Arial"/>
          <w:color w:val="000000"/>
        </w:rPr>
        <w:t xml:space="preserve">, </w:t>
      </w:r>
      <w:r w:rsidR="00FE15B3" w:rsidRPr="003522C1">
        <w:rPr>
          <w:rFonts w:ascii="Arial" w:hAnsi="Arial" w:cs="Arial"/>
          <w:color w:val="000000"/>
        </w:rPr>
        <w:t xml:space="preserve">lo que responde al </w:t>
      </w:r>
      <w:r w:rsidR="00D25487" w:rsidRPr="003522C1">
        <w:rPr>
          <w:rFonts w:ascii="Arial" w:hAnsi="Arial" w:cs="Arial"/>
          <w:color w:val="000000"/>
        </w:rPr>
        <w:t xml:space="preserve"> principio </w:t>
      </w:r>
      <w:r w:rsidR="00682349" w:rsidRPr="003522C1">
        <w:rPr>
          <w:rFonts w:ascii="Arial" w:hAnsi="Arial" w:cs="Arial"/>
          <w:color w:val="000000"/>
        </w:rPr>
        <w:t>primordial</w:t>
      </w:r>
      <w:r w:rsidR="00D25487" w:rsidRPr="003522C1">
        <w:rPr>
          <w:rFonts w:ascii="Arial" w:hAnsi="Arial" w:cs="Arial"/>
          <w:color w:val="000000"/>
        </w:rPr>
        <w:t xml:space="preserve"> del </w:t>
      </w:r>
      <w:r w:rsidR="00017DA9" w:rsidRPr="003522C1">
        <w:rPr>
          <w:rFonts w:ascii="Arial" w:hAnsi="Arial" w:cs="Arial"/>
          <w:color w:val="000000"/>
        </w:rPr>
        <w:t>derecho</w:t>
      </w:r>
      <w:r w:rsidR="00D25487" w:rsidRPr="003522C1">
        <w:rPr>
          <w:rFonts w:ascii="Arial" w:hAnsi="Arial" w:cs="Arial"/>
          <w:color w:val="000000"/>
        </w:rPr>
        <w:t xml:space="preserve"> sobre la responsabilidad internacional del Estado, según </w:t>
      </w:r>
      <w:r w:rsidR="00017DA9" w:rsidRPr="003522C1">
        <w:rPr>
          <w:rFonts w:ascii="Arial" w:hAnsi="Arial" w:cs="Arial"/>
          <w:color w:val="000000"/>
        </w:rPr>
        <w:t xml:space="preserve">el cual los estados deben acatar sus obligaciones </w:t>
      </w:r>
      <w:r w:rsidR="00017DA9" w:rsidRPr="003522C1">
        <w:rPr>
          <w:rFonts w:ascii="Arial" w:hAnsi="Arial" w:cs="Arial"/>
          <w:color w:val="000000"/>
        </w:rPr>
        <w:lastRenderedPageBreak/>
        <w:t>convencionales interna</w:t>
      </w:r>
      <w:r w:rsidR="00FE15B3" w:rsidRPr="003522C1">
        <w:rPr>
          <w:rFonts w:ascii="Arial" w:hAnsi="Arial" w:cs="Arial"/>
          <w:color w:val="000000"/>
        </w:rPr>
        <w:t>cionales de buena fe</w:t>
      </w:r>
      <w:r w:rsidR="00682349" w:rsidRPr="003522C1">
        <w:rPr>
          <w:rFonts w:ascii="Arial" w:hAnsi="Arial" w:cs="Arial"/>
          <w:color w:val="000000"/>
        </w:rPr>
        <w:t xml:space="preserve"> (pacta sunt </w:t>
      </w:r>
      <w:proofErr w:type="spellStart"/>
      <w:r w:rsidR="00682349" w:rsidRPr="003522C1">
        <w:rPr>
          <w:rFonts w:ascii="Arial" w:hAnsi="Arial" w:cs="Arial"/>
          <w:color w:val="000000"/>
        </w:rPr>
        <w:t>servanda</w:t>
      </w:r>
      <w:proofErr w:type="spellEnd"/>
      <w:r w:rsidR="00682349" w:rsidRPr="003522C1">
        <w:rPr>
          <w:rFonts w:ascii="Arial" w:hAnsi="Arial" w:cs="Arial"/>
          <w:color w:val="000000"/>
        </w:rPr>
        <w:t>)</w:t>
      </w:r>
      <w:r w:rsidR="00017DA9" w:rsidRPr="003522C1">
        <w:rPr>
          <w:rFonts w:ascii="Arial" w:hAnsi="Arial" w:cs="Arial"/>
          <w:color w:val="000000"/>
        </w:rPr>
        <w:t xml:space="preserve"> y de conformidad con la Convención de Viena sobre el Derecho de los Tratados 1969, </w:t>
      </w:r>
      <w:r w:rsidR="00FE15B3" w:rsidRPr="003522C1">
        <w:rPr>
          <w:rFonts w:ascii="Arial" w:hAnsi="Arial" w:cs="Arial"/>
          <w:color w:val="000000"/>
        </w:rPr>
        <w:t>no se pueden dejar de cumplir las obligaciones internacionales asumidas</w:t>
      </w:r>
      <w:r w:rsidR="00017DA9" w:rsidRPr="003522C1">
        <w:rPr>
          <w:rFonts w:ascii="Arial" w:hAnsi="Arial" w:cs="Arial"/>
          <w:color w:val="000000"/>
        </w:rPr>
        <w:t xml:space="preserve"> por razones de </w:t>
      </w:r>
      <w:r w:rsidR="00FE15B3" w:rsidRPr="003522C1">
        <w:rPr>
          <w:rFonts w:ascii="Arial" w:hAnsi="Arial" w:cs="Arial"/>
          <w:color w:val="000000"/>
        </w:rPr>
        <w:t>orden interno</w:t>
      </w:r>
      <w:r w:rsidR="00682349" w:rsidRPr="003522C1">
        <w:rPr>
          <w:rFonts w:ascii="Arial" w:hAnsi="Arial" w:cs="Arial"/>
          <w:color w:val="000000"/>
        </w:rPr>
        <w:t xml:space="preserve">, </w:t>
      </w:r>
      <w:r w:rsidR="00017DA9" w:rsidRPr="003522C1">
        <w:rPr>
          <w:rFonts w:ascii="Arial" w:hAnsi="Arial" w:cs="Arial"/>
          <w:color w:val="000000"/>
        </w:rPr>
        <w:t xml:space="preserve"> s</w:t>
      </w:r>
      <w:r w:rsidR="00D871F1" w:rsidRPr="003522C1">
        <w:rPr>
          <w:rFonts w:ascii="Arial" w:hAnsi="Arial" w:cs="Arial"/>
          <w:color w:val="000000"/>
        </w:rPr>
        <w:t>o pena de verse comprometida la</w:t>
      </w:r>
      <w:r w:rsidR="00017DA9" w:rsidRPr="003522C1">
        <w:rPr>
          <w:rFonts w:ascii="Arial" w:hAnsi="Arial" w:cs="Arial"/>
          <w:color w:val="000000"/>
        </w:rPr>
        <w:t xml:space="preserve"> referida responsabilidad  ( art.27</w:t>
      </w:r>
      <w:r w:rsidR="0065337F" w:rsidRPr="003522C1">
        <w:rPr>
          <w:rFonts w:ascii="Arial" w:hAnsi="Arial" w:cs="Arial"/>
          <w:color w:val="000000"/>
        </w:rPr>
        <w:t xml:space="preserve"> </w:t>
      </w:r>
      <w:r w:rsidR="00017DA9" w:rsidRPr="003522C1">
        <w:rPr>
          <w:rFonts w:ascii="Arial" w:hAnsi="Arial" w:cs="Arial"/>
          <w:color w:val="000000"/>
        </w:rPr>
        <w:t xml:space="preserve">de la  referida </w:t>
      </w:r>
      <w:r w:rsidR="00D871F1" w:rsidRPr="003522C1">
        <w:rPr>
          <w:rFonts w:ascii="Arial" w:hAnsi="Arial" w:cs="Arial"/>
          <w:color w:val="000000"/>
        </w:rPr>
        <w:t>Convención</w:t>
      </w:r>
      <w:r w:rsidR="00C5703E" w:rsidRPr="003522C1">
        <w:rPr>
          <w:rFonts w:ascii="Arial" w:hAnsi="Arial" w:cs="Arial"/>
          <w:color w:val="000000"/>
        </w:rPr>
        <w:t xml:space="preserve">), por lo que  concluye que </w:t>
      </w:r>
      <w:r w:rsidR="00017DA9" w:rsidRPr="003522C1">
        <w:rPr>
          <w:rFonts w:ascii="Arial" w:hAnsi="Arial" w:cs="Arial"/>
          <w:color w:val="000000"/>
          <w:shd w:val="clear" w:color="auto" w:fill="FFFFFF"/>
        </w:rPr>
        <w:t xml:space="preserve"> corresponde dejar sin efecto l</w:t>
      </w:r>
      <w:r w:rsidR="00C5703E" w:rsidRPr="003522C1">
        <w:rPr>
          <w:rFonts w:ascii="Arial" w:hAnsi="Arial" w:cs="Arial"/>
          <w:color w:val="000000"/>
          <w:shd w:val="clear" w:color="auto" w:fill="FFFFFF"/>
        </w:rPr>
        <w:t>a sentencia dictada por la CSJN</w:t>
      </w:r>
      <w:r w:rsidR="00017DA9" w:rsidRPr="003522C1">
        <w:rPr>
          <w:rFonts w:ascii="Arial" w:hAnsi="Arial" w:cs="Arial"/>
          <w:color w:val="000000"/>
          <w:shd w:val="clear" w:color="auto" w:fill="FFFFFF"/>
        </w:rPr>
        <w:t xml:space="preserve">  y por la Cámara</w:t>
      </w:r>
      <w:r w:rsidR="000173DC" w:rsidRPr="003522C1">
        <w:rPr>
          <w:rFonts w:ascii="Arial" w:hAnsi="Arial" w:cs="Arial"/>
          <w:color w:val="000000"/>
          <w:shd w:val="clear" w:color="auto" w:fill="FFFFFF"/>
        </w:rPr>
        <w:t xml:space="preserve"> Nacional de Apelaciones en lo C</w:t>
      </w:r>
      <w:r w:rsidR="00017DA9" w:rsidRPr="003522C1">
        <w:rPr>
          <w:rFonts w:ascii="Arial" w:hAnsi="Arial" w:cs="Arial"/>
          <w:color w:val="000000"/>
          <w:shd w:val="clear" w:color="auto" w:fill="FFFFFF"/>
        </w:rPr>
        <w:t xml:space="preserve">ivil en la citada causa “Menem” en cuanto atribuye responsabilidad civil e impusieron una condena a los señores Jorge </w:t>
      </w:r>
      <w:proofErr w:type="spellStart"/>
      <w:r w:rsidR="00017DA9" w:rsidRPr="003522C1">
        <w:rPr>
          <w:rFonts w:ascii="Arial" w:hAnsi="Arial" w:cs="Arial"/>
          <w:color w:val="000000"/>
          <w:shd w:val="clear" w:color="auto" w:fill="FFFFFF"/>
        </w:rPr>
        <w:t>Fontevecchia</w:t>
      </w:r>
      <w:proofErr w:type="spellEnd"/>
      <w:r w:rsidR="00017DA9" w:rsidRPr="003522C1">
        <w:rPr>
          <w:rFonts w:ascii="Arial" w:hAnsi="Arial" w:cs="Arial"/>
          <w:color w:val="000000"/>
          <w:shd w:val="clear" w:color="auto" w:fill="FFFFFF"/>
        </w:rPr>
        <w:t xml:space="preserve"> y </w:t>
      </w:r>
      <w:r w:rsidR="00EA2CFF" w:rsidRPr="003522C1">
        <w:rPr>
          <w:rFonts w:ascii="Arial" w:hAnsi="Arial" w:cs="Arial"/>
          <w:color w:val="000000"/>
          <w:shd w:val="clear" w:color="auto" w:fill="FFFFFF"/>
        </w:rPr>
        <w:t>Héctor</w:t>
      </w:r>
      <w:r w:rsidR="0065337F" w:rsidRPr="003522C1">
        <w:rPr>
          <w:rFonts w:ascii="Arial" w:hAnsi="Arial" w:cs="Arial"/>
          <w:color w:val="000000"/>
          <w:shd w:val="clear" w:color="auto" w:fill="FFFFFF"/>
        </w:rPr>
        <w:t xml:space="preserve"> </w:t>
      </w:r>
      <w:proofErr w:type="spellStart"/>
      <w:r w:rsidR="00017DA9" w:rsidRPr="003522C1">
        <w:rPr>
          <w:rFonts w:ascii="Arial" w:hAnsi="Arial" w:cs="Arial"/>
          <w:color w:val="000000"/>
          <w:shd w:val="clear" w:color="auto" w:fill="FFFFFF"/>
        </w:rPr>
        <w:t>D´Amico</w:t>
      </w:r>
      <w:proofErr w:type="spellEnd"/>
      <w:r w:rsidR="00017DA9" w:rsidRPr="003522C1">
        <w:rPr>
          <w:rFonts w:ascii="Arial" w:hAnsi="Arial" w:cs="Arial"/>
          <w:color w:val="000000"/>
          <w:shd w:val="clear" w:color="auto" w:fill="FFFFFF"/>
        </w:rPr>
        <w:t>.</w:t>
      </w:r>
      <w:r w:rsidR="00682349" w:rsidRPr="003522C1">
        <w:rPr>
          <w:rFonts w:ascii="Arial" w:hAnsi="Arial" w:cs="Arial"/>
          <w:b/>
          <w:color w:val="000000"/>
          <w:shd w:val="clear" w:color="auto" w:fill="FFFFFF"/>
        </w:rPr>
        <w:t>-</w:t>
      </w:r>
    </w:p>
    <w:p w:rsidR="00ED7983" w:rsidRPr="003522C1" w:rsidRDefault="00ED7983" w:rsidP="00910107">
      <w:pPr>
        <w:pStyle w:val="NormalWeb"/>
        <w:shd w:val="clear" w:color="auto" w:fill="FFFFFF"/>
        <w:spacing w:before="0" w:beforeAutospacing="0" w:after="0" w:afterAutospacing="0" w:line="360" w:lineRule="auto"/>
        <w:jc w:val="both"/>
        <w:textAlignment w:val="baseline"/>
        <w:rPr>
          <w:rFonts w:ascii="Arial" w:hAnsi="Arial" w:cs="Arial"/>
          <w:b/>
          <w:color w:val="000000"/>
        </w:rPr>
      </w:pPr>
    </w:p>
    <w:p w:rsidR="00730966" w:rsidRPr="003522C1" w:rsidRDefault="002C128B" w:rsidP="00910107">
      <w:pPr>
        <w:autoSpaceDE w:val="0"/>
        <w:autoSpaceDN w:val="0"/>
        <w:adjustRightInd w:val="0"/>
        <w:spacing w:after="0" w:line="360" w:lineRule="auto"/>
        <w:jc w:val="both"/>
        <w:rPr>
          <w:rFonts w:ascii="Arial" w:hAnsi="Arial" w:cs="Arial"/>
          <w:b/>
          <w:color w:val="000000"/>
          <w:sz w:val="24"/>
          <w:szCs w:val="24"/>
        </w:rPr>
      </w:pPr>
      <w:r w:rsidRPr="003522C1">
        <w:rPr>
          <w:rFonts w:ascii="Arial" w:hAnsi="Arial" w:cs="Arial"/>
          <w:b/>
          <w:color w:val="000000"/>
          <w:sz w:val="24"/>
          <w:szCs w:val="24"/>
        </w:rPr>
        <w:t>b</w:t>
      </w:r>
      <w:proofErr w:type="gramStart"/>
      <w:r w:rsidRPr="003522C1">
        <w:rPr>
          <w:rFonts w:ascii="Arial" w:hAnsi="Arial" w:cs="Arial"/>
          <w:b/>
          <w:color w:val="000000"/>
          <w:sz w:val="24"/>
          <w:szCs w:val="24"/>
        </w:rPr>
        <w:t>).</w:t>
      </w:r>
      <w:r w:rsidR="00D75DAD" w:rsidRPr="003522C1">
        <w:rPr>
          <w:rFonts w:ascii="Arial" w:hAnsi="Arial" w:cs="Arial"/>
          <w:b/>
          <w:color w:val="000000"/>
          <w:sz w:val="24"/>
          <w:szCs w:val="24"/>
        </w:rPr>
        <w:t>-</w:t>
      </w:r>
      <w:proofErr w:type="gramEnd"/>
      <w:r w:rsidR="00ED7983" w:rsidRPr="003522C1">
        <w:rPr>
          <w:rFonts w:ascii="Arial" w:hAnsi="Arial" w:cs="Arial"/>
          <w:b/>
          <w:color w:val="000000"/>
          <w:sz w:val="24"/>
          <w:szCs w:val="24"/>
        </w:rPr>
        <w:t>El control de Convencionalidad en el sistema interamericano–</w:t>
      </w:r>
      <w:r w:rsidR="00C5703E" w:rsidRPr="003522C1">
        <w:rPr>
          <w:rFonts w:ascii="Arial" w:hAnsi="Arial" w:cs="Arial"/>
          <w:b/>
          <w:color w:val="000000"/>
          <w:sz w:val="24"/>
          <w:szCs w:val="24"/>
        </w:rPr>
        <w:t xml:space="preserve"> </w:t>
      </w:r>
      <w:r w:rsidR="00ED7983" w:rsidRPr="003522C1">
        <w:rPr>
          <w:rFonts w:ascii="Arial" w:hAnsi="Arial" w:cs="Arial"/>
          <w:b/>
          <w:color w:val="000000"/>
          <w:sz w:val="24"/>
          <w:szCs w:val="24"/>
        </w:rPr>
        <w:t>Antecedentes jurisprudenciales:</w:t>
      </w:r>
    </w:p>
    <w:p w:rsidR="00EB2D00" w:rsidRPr="003522C1" w:rsidRDefault="004C1459" w:rsidP="00910107">
      <w:pPr>
        <w:pStyle w:val="Prrafodelista"/>
        <w:spacing w:line="360" w:lineRule="auto"/>
        <w:ind w:left="0"/>
        <w:jc w:val="both"/>
        <w:rPr>
          <w:rFonts w:ascii="Arial" w:hAnsi="Arial" w:cs="Arial"/>
          <w:sz w:val="24"/>
          <w:szCs w:val="24"/>
          <w:vertAlign w:val="subscript"/>
        </w:rPr>
      </w:pPr>
      <w:r w:rsidRPr="003522C1">
        <w:rPr>
          <w:rFonts w:ascii="Arial" w:hAnsi="Arial" w:cs="Arial"/>
          <w:sz w:val="24"/>
          <w:szCs w:val="24"/>
        </w:rPr>
        <w:t xml:space="preserve"> En la jurisprudencia de la Corte Interamericana (Corte IDH), ha surgido el concepto control de convencionalidad para denominar a la herramienta que permite a los Estados concretar la obligación de garantía de los derechos humanos en el ámbito interno, a través de la verificación de la conformidad de las normas y prácticas nacionales, con la Convención Americana de Derechos Humanos (CADH) </w:t>
      </w:r>
      <w:r w:rsidR="006529A6" w:rsidRPr="003522C1">
        <w:rPr>
          <w:rFonts w:ascii="Arial" w:hAnsi="Arial" w:cs="Arial"/>
          <w:sz w:val="24"/>
          <w:szCs w:val="24"/>
        </w:rPr>
        <w:t>y su jurisprudencia.</w:t>
      </w:r>
      <w:r w:rsidR="00BE5AB3" w:rsidRPr="003522C1">
        <w:rPr>
          <w:rFonts w:ascii="Arial" w:hAnsi="Arial" w:cs="Arial"/>
          <w:sz w:val="24"/>
          <w:szCs w:val="24"/>
          <w:vertAlign w:val="subscript"/>
        </w:rPr>
        <w:t>2.</w:t>
      </w:r>
    </w:p>
    <w:p w:rsidR="003522C1" w:rsidRDefault="00C5703E" w:rsidP="00910107">
      <w:pPr>
        <w:pStyle w:val="Prrafodelista"/>
        <w:spacing w:line="360" w:lineRule="auto"/>
        <w:ind w:left="0"/>
        <w:jc w:val="both"/>
        <w:rPr>
          <w:rFonts w:ascii="Arial" w:hAnsi="Arial" w:cs="Arial"/>
          <w:color w:val="FF0000"/>
          <w:sz w:val="24"/>
          <w:szCs w:val="24"/>
        </w:rPr>
      </w:pPr>
      <w:r w:rsidRPr="003522C1">
        <w:rPr>
          <w:rFonts w:ascii="Arial" w:hAnsi="Arial" w:cs="Arial"/>
          <w:sz w:val="24"/>
          <w:szCs w:val="24"/>
        </w:rPr>
        <w:t>L</w:t>
      </w:r>
      <w:r w:rsidR="002D6D3B" w:rsidRPr="003522C1">
        <w:rPr>
          <w:rFonts w:ascii="Arial" w:hAnsi="Arial" w:cs="Arial"/>
          <w:sz w:val="24"/>
          <w:szCs w:val="24"/>
        </w:rPr>
        <w:t xml:space="preserve">a Corte IDH </w:t>
      </w:r>
      <w:r w:rsidR="00622DBC" w:rsidRPr="003522C1">
        <w:rPr>
          <w:rFonts w:ascii="Arial" w:hAnsi="Arial" w:cs="Arial"/>
          <w:sz w:val="24"/>
          <w:szCs w:val="24"/>
        </w:rPr>
        <w:t xml:space="preserve">ejerce </w:t>
      </w:r>
      <w:r w:rsidR="002D6D3B" w:rsidRPr="003522C1">
        <w:rPr>
          <w:rFonts w:ascii="Arial" w:hAnsi="Arial" w:cs="Arial"/>
          <w:sz w:val="24"/>
          <w:szCs w:val="24"/>
        </w:rPr>
        <w:t>su autoridad interpretativa se autoproclama la interprete final de la CAHD impulsando la doctrina del control de conven</w:t>
      </w:r>
      <w:r w:rsidRPr="003522C1">
        <w:rPr>
          <w:rFonts w:ascii="Arial" w:hAnsi="Arial" w:cs="Arial"/>
          <w:sz w:val="24"/>
          <w:szCs w:val="24"/>
        </w:rPr>
        <w:t>cionalidad, lo que surge del art.62.1 CADH</w:t>
      </w:r>
      <w:r w:rsidR="005505F0" w:rsidRPr="003522C1">
        <w:rPr>
          <w:rFonts w:ascii="Arial" w:hAnsi="Arial" w:cs="Arial"/>
          <w:sz w:val="24"/>
          <w:szCs w:val="24"/>
        </w:rPr>
        <w:t>.</w:t>
      </w:r>
      <w:r w:rsidR="00DC7F6A" w:rsidRPr="003522C1">
        <w:rPr>
          <w:rFonts w:ascii="Arial" w:hAnsi="Arial" w:cs="Arial"/>
          <w:sz w:val="24"/>
          <w:szCs w:val="24"/>
        </w:rPr>
        <w:t xml:space="preserve"> </w:t>
      </w:r>
      <w:proofErr w:type="spellStart"/>
      <w:r w:rsidR="005505F0" w:rsidRPr="003522C1">
        <w:rPr>
          <w:rFonts w:ascii="Arial" w:hAnsi="Arial" w:cs="Arial"/>
          <w:sz w:val="24"/>
          <w:szCs w:val="24"/>
        </w:rPr>
        <w:t>Calogero</w:t>
      </w:r>
      <w:proofErr w:type="spellEnd"/>
      <w:r w:rsidR="005505F0" w:rsidRPr="003522C1">
        <w:rPr>
          <w:rFonts w:ascii="Arial" w:hAnsi="Arial" w:cs="Arial"/>
          <w:sz w:val="24"/>
          <w:szCs w:val="24"/>
        </w:rPr>
        <w:t xml:space="preserve"> </w:t>
      </w:r>
      <w:proofErr w:type="spellStart"/>
      <w:r w:rsidR="005505F0" w:rsidRPr="003522C1">
        <w:rPr>
          <w:rFonts w:ascii="Arial" w:hAnsi="Arial" w:cs="Arial"/>
          <w:sz w:val="24"/>
          <w:szCs w:val="24"/>
        </w:rPr>
        <w:t>P</w:t>
      </w:r>
      <w:r w:rsidR="00AD3D90">
        <w:rPr>
          <w:rFonts w:ascii="Arial" w:hAnsi="Arial" w:cs="Arial"/>
          <w:sz w:val="24"/>
          <w:szCs w:val="24"/>
        </w:rPr>
        <w:t>í</w:t>
      </w:r>
      <w:bookmarkStart w:id="0" w:name="_GoBack"/>
      <w:bookmarkEnd w:id="0"/>
      <w:r w:rsidR="005505F0" w:rsidRPr="003522C1">
        <w:rPr>
          <w:rFonts w:ascii="Arial" w:hAnsi="Arial" w:cs="Arial"/>
          <w:sz w:val="24"/>
          <w:szCs w:val="24"/>
        </w:rPr>
        <w:t>zzolo</w:t>
      </w:r>
      <w:proofErr w:type="spellEnd"/>
      <w:r w:rsidR="005505F0" w:rsidRPr="003522C1">
        <w:rPr>
          <w:rFonts w:ascii="Arial" w:hAnsi="Arial" w:cs="Arial"/>
          <w:sz w:val="24"/>
          <w:szCs w:val="24"/>
        </w:rPr>
        <w:t xml:space="preserve"> manifiesta  que </w:t>
      </w:r>
      <w:r w:rsidR="00DC7F6A" w:rsidRPr="003522C1">
        <w:rPr>
          <w:rFonts w:ascii="Arial" w:hAnsi="Arial" w:cs="Arial"/>
          <w:sz w:val="24"/>
          <w:szCs w:val="24"/>
        </w:rPr>
        <w:t>“</w:t>
      </w:r>
      <w:r w:rsidR="005505F0" w:rsidRPr="003522C1">
        <w:rPr>
          <w:rFonts w:ascii="Arial" w:hAnsi="Arial" w:cs="Arial"/>
          <w:sz w:val="24"/>
          <w:szCs w:val="24"/>
        </w:rPr>
        <w:t xml:space="preserve">el control “difuso” de </w:t>
      </w:r>
      <w:r w:rsidR="005421C2" w:rsidRPr="003522C1">
        <w:rPr>
          <w:rFonts w:ascii="Arial" w:hAnsi="Arial" w:cs="Arial"/>
          <w:sz w:val="24"/>
          <w:szCs w:val="24"/>
        </w:rPr>
        <w:t>convencionalidad, citando a</w:t>
      </w:r>
      <w:r w:rsidR="005505F0" w:rsidRPr="003522C1">
        <w:rPr>
          <w:rFonts w:ascii="Arial" w:hAnsi="Arial" w:cs="Arial"/>
          <w:sz w:val="24"/>
          <w:szCs w:val="24"/>
        </w:rPr>
        <w:t xml:space="preserve"> Ferrer Mac-</w:t>
      </w:r>
      <w:proofErr w:type="spellStart"/>
      <w:r w:rsidR="005505F0" w:rsidRPr="003522C1">
        <w:rPr>
          <w:rFonts w:ascii="Arial" w:hAnsi="Arial" w:cs="Arial"/>
          <w:sz w:val="24"/>
          <w:szCs w:val="24"/>
        </w:rPr>
        <w:t>Gregor</w:t>
      </w:r>
      <w:proofErr w:type="spellEnd"/>
      <w:r w:rsidR="005505F0" w:rsidRPr="003522C1">
        <w:rPr>
          <w:rFonts w:ascii="Arial" w:hAnsi="Arial" w:cs="Arial"/>
          <w:sz w:val="24"/>
          <w:szCs w:val="24"/>
        </w:rPr>
        <w:t xml:space="preserve"> en relación al control que llevan adelante los jueces nacionales, no consiste simplemente en dejar de aplicar la norma nacional por ser contraria al “parámetro” de convencionalidad, sino que implica, en primer término, tratar de “armonizar” la norma nacional con la convencional. Esto significa realizar una “interpretación conforme” de la norma nacional con la CADH, sus protocolos </w:t>
      </w:r>
      <w:r w:rsidR="005505F0" w:rsidRPr="003522C1">
        <w:rPr>
          <w:rFonts w:ascii="Arial" w:hAnsi="Arial" w:cs="Arial"/>
          <w:sz w:val="24"/>
          <w:szCs w:val="24"/>
        </w:rPr>
        <w:lastRenderedPageBreak/>
        <w:t>y la jurisprudencial convencional (como</w:t>
      </w:r>
      <w:r w:rsidR="00DC7F6A" w:rsidRPr="003522C1">
        <w:rPr>
          <w:rFonts w:ascii="Arial" w:hAnsi="Arial" w:cs="Arial"/>
          <w:sz w:val="24"/>
          <w:szCs w:val="24"/>
        </w:rPr>
        <w:t xml:space="preserve"> </w:t>
      </w:r>
      <w:r w:rsidR="005505F0" w:rsidRPr="003522C1">
        <w:rPr>
          <w:rFonts w:ascii="Arial" w:hAnsi="Arial" w:cs="Arial"/>
          <w:sz w:val="24"/>
          <w:szCs w:val="24"/>
        </w:rPr>
        <w:t>estándar mínimo), para desechar aquellas “interpretaciones” contrarias o</w:t>
      </w:r>
      <w:r w:rsidR="00DC7F6A" w:rsidRPr="003522C1">
        <w:rPr>
          <w:rFonts w:ascii="Arial" w:hAnsi="Arial" w:cs="Arial"/>
          <w:sz w:val="24"/>
          <w:szCs w:val="24"/>
        </w:rPr>
        <w:t xml:space="preserve"> </w:t>
      </w:r>
      <w:r w:rsidR="005505F0" w:rsidRPr="003522C1">
        <w:rPr>
          <w:rFonts w:ascii="Arial" w:hAnsi="Arial" w:cs="Arial"/>
          <w:sz w:val="24"/>
          <w:szCs w:val="24"/>
        </w:rPr>
        <w:t xml:space="preserve">incompatibles al parámetro convencional. </w:t>
      </w:r>
    </w:p>
    <w:p w:rsidR="007351E2" w:rsidRPr="003522C1" w:rsidRDefault="005505F0" w:rsidP="00910107">
      <w:pPr>
        <w:pStyle w:val="Prrafodelista"/>
        <w:spacing w:line="360" w:lineRule="auto"/>
        <w:ind w:left="0"/>
        <w:jc w:val="both"/>
        <w:rPr>
          <w:rFonts w:ascii="Arial" w:hAnsi="Arial" w:cs="Arial"/>
          <w:b/>
          <w:sz w:val="24"/>
          <w:szCs w:val="24"/>
        </w:rPr>
      </w:pPr>
      <w:r w:rsidRPr="003522C1">
        <w:rPr>
          <w:rFonts w:ascii="Arial" w:hAnsi="Arial" w:cs="Arial"/>
          <w:sz w:val="24"/>
          <w:szCs w:val="24"/>
        </w:rPr>
        <w:t>El mismo autor</w:t>
      </w:r>
      <w:r w:rsidR="00DC7F6A" w:rsidRPr="003522C1">
        <w:rPr>
          <w:rFonts w:ascii="Arial" w:hAnsi="Arial" w:cs="Arial"/>
          <w:sz w:val="24"/>
          <w:szCs w:val="24"/>
        </w:rPr>
        <w:t xml:space="preserve"> </w:t>
      </w:r>
      <w:r w:rsidRPr="003522C1">
        <w:rPr>
          <w:rFonts w:ascii="Arial" w:hAnsi="Arial" w:cs="Arial"/>
          <w:sz w:val="24"/>
          <w:szCs w:val="24"/>
        </w:rPr>
        <w:t>mexicano, define a la interpretación conforme como la “técnica hermenéutica” por</w:t>
      </w:r>
      <w:r w:rsidR="00DC7F6A" w:rsidRPr="003522C1">
        <w:rPr>
          <w:rFonts w:ascii="Arial" w:hAnsi="Arial" w:cs="Arial"/>
          <w:sz w:val="24"/>
          <w:szCs w:val="24"/>
        </w:rPr>
        <w:t xml:space="preserve"> </w:t>
      </w:r>
      <w:r w:rsidRPr="003522C1">
        <w:rPr>
          <w:rFonts w:ascii="Arial" w:hAnsi="Arial" w:cs="Arial"/>
          <w:sz w:val="24"/>
          <w:szCs w:val="24"/>
        </w:rPr>
        <w:t>medio de la cual los derechos y libertades constitucionales son armonizados con los</w:t>
      </w:r>
      <w:r w:rsidR="00DC7F6A" w:rsidRPr="003522C1">
        <w:rPr>
          <w:rFonts w:ascii="Arial" w:hAnsi="Arial" w:cs="Arial"/>
          <w:sz w:val="24"/>
          <w:szCs w:val="24"/>
        </w:rPr>
        <w:t xml:space="preserve"> </w:t>
      </w:r>
      <w:r w:rsidRPr="003522C1">
        <w:rPr>
          <w:rFonts w:ascii="Arial" w:hAnsi="Arial" w:cs="Arial"/>
          <w:sz w:val="24"/>
          <w:szCs w:val="24"/>
        </w:rPr>
        <w:t>valores, principios y normas contenidos en los tratados internacionales sobre derechos humanos signados por los Estados, así como por la jurisprudencia de los tribunales internacionales (y en ocasiones otras resoluciones y fuentes internacionales), para lograr su mayor</w:t>
      </w:r>
      <w:r w:rsidR="00DC7F6A" w:rsidRPr="003522C1">
        <w:rPr>
          <w:rFonts w:ascii="Arial" w:hAnsi="Arial" w:cs="Arial"/>
          <w:sz w:val="24"/>
          <w:szCs w:val="24"/>
        </w:rPr>
        <w:t xml:space="preserve"> </w:t>
      </w:r>
      <w:r w:rsidR="00EB2D00" w:rsidRPr="003522C1">
        <w:rPr>
          <w:rFonts w:ascii="Arial" w:hAnsi="Arial" w:cs="Arial"/>
          <w:sz w:val="24"/>
          <w:szCs w:val="24"/>
        </w:rPr>
        <w:t>eficacia y protección.</w:t>
      </w:r>
      <w:r w:rsidR="00DC7F6A" w:rsidRPr="003522C1">
        <w:rPr>
          <w:rFonts w:ascii="Arial" w:hAnsi="Arial" w:cs="Arial"/>
          <w:sz w:val="24"/>
          <w:szCs w:val="24"/>
        </w:rPr>
        <w:t xml:space="preserve"> </w:t>
      </w:r>
      <w:r w:rsidRPr="003522C1">
        <w:rPr>
          <w:rFonts w:ascii="Arial" w:hAnsi="Arial" w:cs="Arial"/>
          <w:sz w:val="24"/>
          <w:szCs w:val="24"/>
        </w:rPr>
        <w:t xml:space="preserve">La interpretación conforme supone la aplicación de </w:t>
      </w:r>
      <w:r w:rsidRPr="003522C1">
        <w:rPr>
          <w:rFonts w:ascii="Arial" w:hAnsi="Arial" w:cs="Arial"/>
          <w:iCs/>
          <w:sz w:val="24"/>
          <w:szCs w:val="24"/>
        </w:rPr>
        <w:t xml:space="preserve">técnicas interpretativas </w:t>
      </w:r>
      <w:r w:rsidRPr="003522C1">
        <w:rPr>
          <w:rFonts w:ascii="Arial" w:hAnsi="Arial" w:cs="Arial"/>
          <w:sz w:val="24"/>
          <w:szCs w:val="24"/>
        </w:rPr>
        <w:t>que</w:t>
      </w:r>
      <w:r w:rsidR="00DC7F6A" w:rsidRPr="003522C1">
        <w:rPr>
          <w:rFonts w:ascii="Arial" w:hAnsi="Arial" w:cs="Arial"/>
          <w:sz w:val="24"/>
          <w:szCs w:val="24"/>
        </w:rPr>
        <w:t xml:space="preserve"> </w:t>
      </w:r>
      <w:r w:rsidRPr="003522C1">
        <w:rPr>
          <w:rFonts w:ascii="Arial" w:hAnsi="Arial" w:cs="Arial"/>
          <w:sz w:val="24"/>
          <w:szCs w:val="24"/>
        </w:rPr>
        <w:t xml:space="preserve">permitan la comprensión de las normas en conflicto de </w:t>
      </w:r>
      <w:r w:rsidRPr="003522C1">
        <w:rPr>
          <w:rFonts w:ascii="Arial" w:hAnsi="Arial" w:cs="Arial"/>
          <w:iCs/>
          <w:sz w:val="24"/>
          <w:szCs w:val="24"/>
        </w:rPr>
        <w:t>modo compatible entre sí</w:t>
      </w:r>
      <w:r w:rsidRPr="003522C1">
        <w:rPr>
          <w:rFonts w:ascii="Arial" w:hAnsi="Arial" w:cs="Arial"/>
          <w:sz w:val="24"/>
          <w:szCs w:val="24"/>
        </w:rPr>
        <w:t xml:space="preserve">. Ello con una importante particularidad como es que se trata de una </w:t>
      </w:r>
      <w:r w:rsidRPr="003522C1">
        <w:rPr>
          <w:rFonts w:ascii="Arial" w:hAnsi="Arial" w:cs="Arial"/>
          <w:iCs/>
          <w:sz w:val="24"/>
          <w:szCs w:val="24"/>
        </w:rPr>
        <w:t>interpretación mutua</w:t>
      </w:r>
      <w:r w:rsidRPr="003522C1">
        <w:rPr>
          <w:rFonts w:ascii="Arial" w:hAnsi="Arial" w:cs="Arial"/>
          <w:sz w:val="24"/>
          <w:szCs w:val="24"/>
        </w:rPr>
        <w:t xml:space="preserve"> </w:t>
      </w:r>
      <w:r w:rsidRPr="003522C1">
        <w:rPr>
          <w:rFonts w:ascii="Arial" w:hAnsi="Arial" w:cs="Arial"/>
          <w:iCs/>
          <w:sz w:val="24"/>
          <w:szCs w:val="24"/>
        </w:rPr>
        <w:t>o doblemente conforme</w:t>
      </w:r>
      <w:r w:rsidRPr="003522C1">
        <w:rPr>
          <w:rFonts w:ascii="Arial" w:hAnsi="Arial" w:cs="Arial"/>
          <w:sz w:val="24"/>
          <w:szCs w:val="24"/>
        </w:rPr>
        <w:t>, pues “implica no adaptar la interpretación a una norma situada en un nivel más elevado (escenario de la interpretación conforme), sino simultáneamente a dos normas superiores</w:t>
      </w:r>
      <w:r w:rsidRPr="003522C1">
        <w:rPr>
          <w:rFonts w:ascii="Arial" w:hAnsi="Arial" w:cs="Arial"/>
          <w:b/>
          <w:sz w:val="24"/>
          <w:szCs w:val="24"/>
        </w:rPr>
        <w:t>”</w:t>
      </w:r>
      <w:r w:rsidR="00EB2D00" w:rsidRPr="003522C1">
        <w:rPr>
          <w:rFonts w:ascii="Arial" w:hAnsi="Arial" w:cs="Arial"/>
          <w:b/>
          <w:sz w:val="24"/>
          <w:szCs w:val="24"/>
          <w:vertAlign w:val="subscript"/>
        </w:rPr>
        <w:t>3</w:t>
      </w:r>
      <w:r w:rsidR="00BE5AB3" w:rsidRPr="003522C1">
        <w:rPr>
          <w:rFonts w:ascii="Arial" w:hAnsi="Arial" w:cs="Arial"/>
          <w:b/>
          <w:sz w:val="24"/>
          <w:szCs w:val="24"/>
          <w:vertAlign w:val="subscript"/>
        </w:rPr>
        <w:t>.</w:t>
      </w:r>
    </w:p>
    <w:p w:rsidR="00722C7A" w:rsidRDefault="008A231F" w:rsidP="00910107">
      <w:pPr>
        <w:pStyle w:val="Prrafodelista"/>
        <w:spacing w:line="360" w:lineRule="auto"/>
        <w:ind w:left="0"/>
        <w:jc w:val="both"/>
        <w:rPr>
          <w:rFonts w:ascii="Arial" w:hAnsi="Arial" w:cs="Arial"/>
          <w:sz w:val="24"/>
          <w:szCs w:val="24"/>
          <w:vertAlign w:val="subscript"/>
        </w:rPr>
      </w:pPr>
      <w:r>
        <w:rPr>
          <w:rFonts w:ascii="Arial" w:hAnsi="Arial" w:cs="Arial"/>
          <w:sz w:val="24"/>
          <w:szCs w:val="24"/>
        </w:rPr>
        <w:t>Siguiendo a Lautaro</w:t>
      </w:r>
      <w:r w:rsidR="00722C7A" w:rsidRPr="003522C1">
        <w:rPr>
          <w:rFonts w:ascii="Arial" w:hAnsi="Arial" w:cs="Arial"/>
          <w:sz w:val="24"/>
          <w:szCs w:val="24"/>
        </w:rPr>
        <w:t xml:space="preserve"> </w:t>
      </w:r>
      <w:proofErr w:type="spellStart"/>
      <w:r w:rsidR="00722C7A" w:rsidRPr="003522C1">
        <w:rPr>
          <w:rFonts w:ascii="Arial" w:hAnsi="Arial" w:cs="Arial"/>
          <w:sz w:val="24"/>
          <w:szCs w:val="24"/>
        </w:rPr>
        <w:t>Pittier</w:t>
      </w:r>
      <w:proofErr w:type="spellEnd"/>
      <w:r w:rsidR="00722C7A" w:rsidRPr="003522C1">
        <w:rPr>
          <w:rFonts w:ascii="Arial" w:hAnsi="Arial" w:cs="Arial"/>
          <w:sz w:val="24"/>
          <w:szCs w:val="24"/>
        </w:rPr>
        <w:t>, expresa que e</w:t>
      </w:r>
      <w:r w:rsidR="005505F0" w:rsidRPr="003522C1">
        <w:rPr>
          <w:rFonts w:ascii="Arial" w:hAnsi="Arial" w:cs="Arial"/>
          <w:sz w:val="24"/>
          <w:szCs w:val="24"/>
        </w:rPr>
        <w:t>n el</w:t>
      </w:r>
      <w:r w:rsidR="002D6D3B" w:rsidRPr="003522C1">
        <w:rPr>
          <w:rFonts w:ascii="Arial" w:hAnsi="Arial" w:cs="Arial"/>
          <w:sz w:val="24"/>
          <w:szCs w:val="24"/>
        </w:rPr>
        <w:t xml:space="preserve"> sis</w:t>
      </w:r>
      <w:r w:rsidR="006B4556" w:rsidRPr="003522C1">
        <w:rPr>
          <w:rFonts w:ascii="Arial" w:hAnsi="Arial" w:cs="Arial"/>
          <w:sz w:val="24"/>
          <w:szCs w:val="24"/>
        </w:rPr>
        <w:t xml:space="preserve">tema interamericano el término </w:t>
      </w:r>
      <w:r w:rsidR="002D6D3B" w:rsidRPr="003522C1">
        <w:rPr>
          <w:rFonts w:ascii="Arial" w:hAnsi="Arial" w:cs="Arial"/>
          <w:sz w:val="24"/>
          <w:szCs w:val="24"/>
        </w:rPr>
        <w:t xml:space="preserve"> de control</w:t>
      </w:r>
      <w:r w:rsidR="006B4556" w:rsidRPr="003522C1">
        <w:rPr>
          <w:rFonts w:ascii="Arial" w:hAnsi="Arial" w:cs="Arial"/>
          <w:sz w:val="24"/>
          <w:szCs w:val="24"/>
        </w:rPr>
        <w:t xml:space="preserve"> de convencionalidad</w:t>
      </w:r>
      <w:r w:rsidR="002D6D3B" w:rsidRPr="003522C1">
        <w:rPr>
          <w:rFonts w:ascii="Arial" w:hAnsi="Arial" w:cs="Arial"/>
          <w:sz w:val="24"/>
          <w:szCs w:val="24"/>
        </w:rPr>
        <w:t xml:space="preserve"> surge por primera vez en la jurisprudencia de la Corte Interamericana en el caso </w:t>
      </w:r>
      <w:r w:rsidR="00230729" w:rsidRPr="003522C1">
        <w:rPr>
          <w:rFonts w:ascii="Arial" w:hAnsi="Arial" w:cs="Arial"/>
          <w:sz w:val="24"/>
          <w:szCs w:val="24"/>
        </w:rPr>
        <w:t>“</w:t>
      </w:r>
      <w:r w:rsidR="008B4EF3" w:rsidRPr="003522C1">
        <w:rPr>
          <w:rFonts w:ascii="Arial" w:hAnsi="Arial" w:cs="Arial"/>
          <w:sz w:val="24"/>
          <w:szCs w:val="24"/>
        </w:rPr>
        <w:t>Myrna  Mack Chang vs. Guatemala</w:t>
      </w:r>
      <w:r w:rsidR="00230729" w:rsidRPr="003522C1">
        <w:rPr>
          <w:rFonts w:ascii="Arial" w:hAnsi="Arial" w:cs="Arial"/>
          <w:sz w:val="24"/>
          <w:szCs w:val="24"/>
        </w:rPr>
        <w:t>”</w:t>
      </w:r>
      <w:r w:rsidR="00C135D4" w:rsidRPr="003522C1">
        <w:rPr>
          <w:rFonts w:ascii="Arial" w:hAnsi="Arial" w:cs="Arial"/>
          <w:sz w:val="24"/>
          <w:szCs w:val="24"/>
        </w:rPr>
        <w:t xml:space="preserve"> </w:t>
      </w:r>
      <w:r w:rsidR="006B4556" w:rsidRPr="003522C1">
        <w:rPr>
          <w:rFonts w:ascii="Arial" w:hAnsi="Arial" w:cs="Arial"/>
          <w:sz w:val="24"/>
          <w:szCs w:val="24"/>
        </w:rPr>
        <w:t xml:space="preserve">en el año 2003, lo que no implica que la Corte a partir de este caso haya ejercido tal poder, sino que lo ha hecho desde siempre; </w:t>
      </w:r>
      <w:r w:rsidR="002D6D3B" w:rsidRPr="003522C1">
        <w:rPr>
          <w:rFonts w:ascii="Arial" w:hAnsi="Arial" w:cs="Arial"/>
          <w:sz w:val="24"/>
          <w:szCs w:val="24"/>
        </w:rPr>
        <w:t xml:space="preserve"> de esta forma se van sucediendo otros pronunciamientos en la misma línea </w:t>
      </w:r>
      <w:r w:rsidR="00622DBC" w:rsidRPr="003522C1">
        <w:rPr>
          <w:rFonts w:ascii="Arial" w:hAnsi="Arial" w:cs="Arial"/>
          <w:sz w:val="24"/>
          <w:szCs w:val="24"/>
        </w:rPr>
        <w:t>arg</w:t>
      </w:r>
      <w:r w:rsidR="00230729" w:rsidRPr="003522C1">
        <w:rPr>
          <w:rFonts w:ascii="Arial" w:hAnsi="Arial" w:cs="Arial"/>
          <w:sz w:val="24"/>
          <w:szCs w:val="24"/>
        </w:rPr>
        <w:t>umental, ejemplo de ello es el c</w:t>
      </w:r>
      <w:r w:rsidR="00622DBC" w:rsidRPr="003522C1">
        <w:rPr>
          <w:rFonts w:ascii="Arial" w:hAnsi="Arial" w:cs="Arial"/>
          <w:sz w:val="24"/>
          <w:szCs w:val="24"/>
        </w:rPr>
        <w:t xml:space="preserve">aso </w:t>
      </w:r>
      <w:r w:rsidR="00230729" w:rsidRPr="003522C1">
        <w:rPr>
          <w:rFonts w:ascii="Arial" w:hAnsi="Arial" w:cs="Arial"/>
          <w:sz w:val="24"/>
          <w:szCs w:val="24"/>
        </w:rPr>
        <w:t>“</w:t>
      </w:r>
      <w:r w:rsidR="00622DBC" w:rsidRPr="003522C1">
        <w:rPr>
          <w:rFonts w:ascii="Arial" w:hAnsi="Arial" w:cs="Arial"/>
          <w:sz w:val="24"/>
          <w:szCs w:val="24"/>
        </w:rPr>
        <w:t>Almonacid Arellano y otros vs. Chile</w:t>
      </w:r>
      <w:r w:rsidR="00230729" w:rsidRPr="003522C1">
        <w:rPr>
          <w:rFonts w:ascii="Arial" w:hAnsi="Arial" w:cs="Arial"/>
          <w:sz w:val="24"/>
          <w:szCs w:val="24"/>
        </w:rPr>
        <w:t>”</w:t>
      </w:r>
      <w:r w:rsidR="00622DBC" w:rsidRPr="003522C1">
        <w:rPr>
          <w:rFonts w:ascii="Arial" w:hAnsi="Arial" w:cs="Arial"/>
          <w:sz w:val="24"/>
          <w:szCs w:val="24"/>
        </w:rPr>
        <w:t xml:space="preserve"> del año 2006</w:t>
      </w:r>
      <w:r w:rsidR="006B4556" w:rsidRPr="003522C1">
        <w:rPr>
          <w:rFonts w:ascii="Arial" w:hAnsi="Arial" w:cs="Arial"/>
          <w:sz w:val="24"/>
          <w:szCs w:val="24"/>
        </w:rPr>
        <w:t>, en el mismo l</w:t>
      </w:r>
      <w:r w:rsidR="00622DBC" w:rsidRPr="003522C1">
        <w:rPr>
          <w:rFonts w:ascii="Arial" w:hAnsi="Arial" w:cs="Arial"/>
          <w:sz w:val="24"/>
          <w:szCs w:val="24"/>
        </w:rPr>
        <w:t>a Corte Interamericana estableció específicamente en su   considerando  124 que:</w:t>
      </w:r>
      <w:r w:rsidR="00230729" w:rsidRPr="003522C1">
        <w:rPr>
          <w:rFonts w:ascii="Arial" w:hAnsi="Arial" w:cs="Arial"/>
          <w:sz w:val="24"/>
          <w:szCs w:val="24"/>
        </w:rPr>
        <w:t xml:space="preserve"> “</w:t>
      </w:r>
      <w:r w:rsidR="00622DBC" w:rsidRPr="003522C1">
        <w:rPr>
          <w:rFonts w:ascii="Arial" w:hAnsi="Arial" w:cs="Arial"/>
          <w:sz w:val="24"/>
          <w:szCs w:val="24"/>
        </w:rPr>
        <w:t>…cuando un Estado ha ratificado un tratado internacional</w:t>
      </w:r>
      <w:r w:rsidR="00C135D4" w:rsidRPr="003522C1">
        <w:rPr>
          <w:rFonts w:ascii="Arial" w:hAnsi="Arial" w:cs="Arial"/>
          <w:sz w:val="24"/>
          <w:szCs w:val="24"/>
        </w:rPr>
        <w:t xml:space="preserve"> </w:t>
      </w:r>
      <w:r w:rsidR="00622DBC" w:rsidRPr="003522C1">
        <w:rPr>
          <w:rFonts w:ascii="Arial" w:hAnsi="Arial" w:cs="Arial"/>
          <w:sz w:val="24"/>
          <w:szCs w:val="24"/>
        </w:rPr>
        <w:t>como la Convención Americana, sus jueces, como parte del</w:t>
      </w:r>
      <w:r w:rsidR="00C135D4" w:rsidRPr="003522C1">
        <w:rPr>
          <w:rFonts w:ascii="Arial" w:hAnsi="Arial" w:cs="Arial"/>
          <w:sz w:val="24"/>
          <w:szCs w:val="24"/>
        </w:rPr>
        <w:t xml:space="preserve"> </w:t>
      </w:r>
      <w:r w:rsidR="00622DBC" w:rsidRPr="003522C1">
        <w:rPr>
          <w:rFonts w:ascii="Arial" w:hAnsi="Arial" w:cs="Arial"/>
          <w:sz w:val="24"/>
          <w:szCs w:val="24"/>
        </w:rPr>
        <w:t xml:space="preserve">aparato del Estado, también están sometidos a ella, </w:t>
      </w:r>
      <w:r w:rsidR="00622DBC" w:rsidRPr="003522C1">
        <w:rPr>
          <w:rFonts w:ascii="Arial" w:hAnsi="Arial" w:cs="Arial"/>
          <w:sz w:val="24"/>
          <w:szCs w:val="24"/>
        </w:rPr>
        <w:lastRenderedPageBreak/>
        <w:t>lo que les</w:t>
      </w:r>
      <w:r w:rsidR="00C135D4" w:rsidRPr="003522C1">
        <w:rPr>
          <w:rFonts w:ascii="Arial" w:hAnsi="Arial" w:cs="Arial"/>
          <w:sz w:val="24"/>
          <w:szCs w:val="24"/>
        </w:rPr>
        <w:t xml:space="preserve"> </w:t>
      </w:r>
      <w:r w:rsidR="00622DBC" w:rsidRPr="003522C1">
        <w:rPr>
          <w:rFonts w:ascii="Arial" w:hAnsi="Arial" w:cs="Arial"/>
          <w:sz w:val="24"/>
          <w:szCs w:val="24"/>
        </w:rPr>
        <w:t>obliga a velar porque los efectos de las disposiciones de la</w:t>
      </w:r>
      <w:r w:rsidR="00C135D4" w:rsidRPr="003522C1">
        <w:rPr>
          <w:rFonts w:ascii="Arial" w:hAnsi="Arial" w:cs="Arial"/>
          <w:sz w:val="24"/>
          <w:szCs w:val="24"/>
        </w:rPr>
        <w:t xml:space="preserve"> </w:t>
      </w:r>
      <w:r w:rsidR="00622DBC" w:rsidRPr="003522C1">
        <w:rPr>
          <w:rFonts w:ascii="Arial" w:hAnsi="Arial" w:cs="Arial"/>
          <w:sz w:val="24"/>
          <w:szCs w:val="24"/>
        </w:rPr>
        <w:t>Convención no se vean mermadas por la aplicación de leyes</w:t>
      </w:r>
      <w:r w:rsidR="00C135D4" w:rsidRPr="003522C1">
        <w:rPr>
          <w:rFonts w:ascii="Arial" w:hAnsi="Arial" w:cs="Arial"/>
          <w:sz w:val="24"/>
          <w:szCs w:val="24"/>
        </w:rPr>
        <w:t xml:space="preserve"> </w:t>
      </w:r>
      <w:r w:rsidR="00622DBC" w:rsidRPr="003522C1">
        <w:rPr>
          <w:rFonts w:ascii="Arial" w:hAnsi="Arial" w:cs="Arial"/>
          <w:sz w:val="24"/>
          <w:szCs w:val="24"/>
        </w:rPr>
        <w:t>contrarias a su objeto y fin, y que desde un inicio carecen de</w:t>
      </w:r>
      <w:r w:rsidR="00C135D4" w:rsidRPr="003522C1">
        <w:rPr>
          <w:rFonts w:ascii="Arial" w:hAnsi="Arial" w:cs="Arial"/>
          <w:sz w:val="24"/>
          <w:szCs w:val="24"/>
        </w:rPr>
        <w:t xml:space="preserve"> </w:t>
      </w:r>
      <w:r w:rsidR="00622DBC" w:rsidRPr="003522C1">
        <w:rPr>
          <w:rFonts w:ascii="Arial" w:hAnsi="Arial" w:cs="Arial"/>
          <w:sz w:val="24"/>
          <w:szCs w:val="24"/>
        </w:rPr>
        <w:t>efectos jurídicos</w:t>
      </w:r>
      <w:r w:rsidR="00230729" w:rsidRPr="003522C1">
        <w:rPr>
          <w:rFonts w:ascii="Arial" w:hAnsi="Arial" w:cs="Arial"/>
          <w:sz w:val="24"/>
          <w:szCs w:val="24"/>
        </w:rPr>
        <w:t>”</w:t>
      </w:r>
      <w:r w:rsidR="00622DBC" w:rsidRPr="003522C1">
        <w:rPr>
          <w:rFonts w:ascii="Arial" w:hAnsi="Arial" w:cs="Arial"/>
          <w:sz w:val="24"/>
          <w:szCs w:val="24"/>
        </w:rPr>
        <w:t>.</w:t>
      </w:r>
      <w:r w:rsidR="006B4556" w:rsidRPr="003522C1">
        <w:rPr>
          <w:rFonts w:ascii="Arial" w:hAnsi="Arial" w:cs="Arial"/>
          <w:sz w:val="24"/>
          <w:szCs w:val="24"/>
        </w:rPr>
        <w:t xml:space="preserve"> </w:t>
      </w:r>
      <w:r w:rsidR="00E377EF" w:rsidRPr="003522C1">
        <w:rPr>
          <w:rFonts w:ascii="Arial" w:hAnsi="Arial" w:cs="Arial"/>
          <w:sz w:val="24"/>
          <w:szCs w:val="24"/>
        </w:rPr>
        <w:t>(</w:t>
      </w:r>
      <w:r w:rsidR="006B4556" w:rsidRPr="003522C1">
        <w:rPr>
          <w:rFonts w:ascii="Arial" w:hAnsi="Arial" w:cs="Arial"/>
          <w:sz w:val="24"/>
          <w:szCs w:val="24"/>
        </w:rPr>
        <w:t>En igual sentido se expidió en el caso “</w:t>
      </w:r>
      <w:proofErr w:type="spellStart"/>
      <w:r w:rsidR="006B4556" w:rsidRPr="003522C1">
        <w:rPr>
          <w:rFonts w:ascii="Arial" w:hAnsi="Arial" w:cs="Arial"/>
          <w:sz w:val="24"/>
          <w:szCs w:val="24"/>
        </w:rPr>
        <w:t>Fontevecchia</w:t>
      </w:r>
      <w:proofErr w:type="spellEnd"/>
      <w:r w:rsidR="006B4556" w:rsidRPr="003522C1">
        <w:rPr>
          <w:rFonts w:ascii="Arial" w:hAnsi="Arial" w:cs="Arial"/>
          <w:sz w:val="24"/>
          <w:szCs w:val="24"/>
        </w:rPr>
        <w:t>”</w:t>
      </w:r>
      <w:r w:rsidR="00E377EF" w:rsidRPr="003522C1">
        <w:rPr>
          <w:rFonts w:ascii="Arial" w:hAnsi="Arial" w:cs="Arial"/>
          <w:sz w:val="24"/>
          <w:szCs w:val="24"/>
        </w:rPr>
        <w:t>)</w:t>
      </w:r>
      <w:r w:rsidR="006B4556" w:rsidRPr="003522C1">
        <w:rPr>
          <w:rFonts w:ascii="Arial" w:hAnsi="Arial" w:cs="Arial"/>
          <w:sz w:val="24"/>
          <w:szCs w:val="24"/>
        </w:rPr>
        <w:t xml:space="preserve">. </w:t>
      </w:r>
      <w:r w:rsidR="00622DBC" w:rsidRPr="003522C1">
        <w:rPr>
          <w:rFonts w:ascii="Arial" w:hAnsi="Arial" w:cs="Arial"/>
          <w:sz w:val="24"/>
          <w:szCs w:val="24"/>
        </w:rPr>
        <w:t>En otras palabras, el Poder Judicial debe</w:t>
      </w:r>
      <w:r w:rsidR="005505F0" w:rsidRPr="003522C1">
        <w:rPr>
          <w:rFonts w:ascii="Arial" w:hAnsi="Arial" w:cs="Arial"/>
          <w:sz w:val="24"/>
          <w:szCs w:val="24"/>
        </w:rPr>
        <w:t xml:space="preserve"> </w:t>
      </w:r>
      <w:r w:rsidR="00622DBC" w:rsidRPr="003522C1">
        <w:rPr>
          <w:rFonts w:ascii="Arial" w:hAnsi="Arial" w:cs="Arial"/>
          <w:sz w:val="24"/>
          <w:szCs w:val="24"/>
        </w:rPr>
        <w:t>ejercer una especie de “control de convencionalidad” entre las</w:t>
      </w:r>
      <w:r w:rsidR="005505F0" w:rsidRPr="003522C1">
        <w:rPr>
          <w:rFonts w:ascii="Arial" w:hAnsi="Arial" w:cs="Arial"/>
          <w:sz w:val="24"/>
          <w:szCs w:val="24"/>
        </w:rPr>
        <w:t xml:space="preserve"> </w:t>
      </w:r>
      <w:r w:rsidR="00622DBC" w:rsidRPr="003522C1">
        <w:rPr>
          <w:rFonts w:ascii="Arial" w:hAnsi="Arial" w:cs="Arial"/>
          <w:sz w:val="24"/>
          <w:szCs w:val="24"/>
        </w:rPr>
        <w:t>normas jurídicas internas que aplican en los casos concretos y</w:t>
      </w:r>
      <w:r w:rsidR="005505F0" w:rsidRPr="003522C1">
        <w:rPr>
          <w:rFonts w:ascii="Arial" w:hAnsi="Arial" w:cs="Arial"/>
          <w:sz w:val="24"/>
          <w:szCs w:val="24"/>
        </w:rPr>
        <w:t xml:space="preserve"> </w:t>
      </w:r>
      <w:r w:rsidR="00622DBC" w:rsidRPr="003522C1">
        <w:rPr>
          <w:rFonts w:ascii="Arial" w:hAnsi="Arial" w:cs="Arial"/>
          <w:sz w:val="24"/>
          <w:szCs w:val="24"/>
        </w:rPr>
        <w:t>la Convención Americana sobre Derechos Humanos. En esta</w:t>
      </w:r>
      <w:r w:rsidR="005505F0" w:rsidRPr="003522C1">
        <w:rPr>
          <w:rFonts w:ascii="Arial" w:hAnsi="Arial" w:cs="Arial"/>
          <w:sz w:val="24"/>
          <w:szCs w:val="24"/>
        </w:rPr>
        <w:t xml:space="preserve"> </w:t>
      </w:r>
      <w:r w:rsidR="00622DBC" w:rsidRPr="003522C1">
        <w:rPr>
          <w:rFonts w:ascii="Arial" w:hAnsi="Arial" w:cs="Arial"/>
          <w:sz w:val="24"/>
          <w:szCs w:val="24"/>
        </w:rPr>
        <w:t>tarea, el Poder Judicial debe tener en cuenta no solamente el</w:t>
      </w:r>
      <w:r w:rsidR="005505F0" w:rsidRPr="003522C1">
        <w:rPr>
          <w:rFonts w:ascii="Arial" w:hAnsi="Arial" w:cs="Arial"/>
          <w:sz w:val="24"/>
          <w:szCs w:val="24"/>
        </w:rPr>
        <w:t xml:space="preserve"> </w:t>
      </w:r>
      <w:r w:rsidR="00622DBC" w:rsidRPr="003522C1">
        <w:rPr>
          <w:rFonts w:ascii="Arial" w:hAnsi="Arial" w:cs="Arial"/>
          <w:sz w:val="24"/>
          <w:szCs w:val="24"/>
        </w:rPr>
        <w:t>tratado, sino también la interpretación que del mismo ha hecho</w:t>
      </w:r>
      <w:r w:rsidR="005505F0" w:rsidRPr="003522C1">
        <w:rPr>
          <w:rFonts w:ascii="Arial" w:hAnsi="Arial" w:cs="Arial"/>
          <w:sz w:val="24"/>
          <w:szCs w:val="24"/>
        </w:rPr>
        <w:t xml:space="preserve"> </w:t>
      </w:r>
      <w:r w:rsidR="00622DBC" w:rsidRPr="003522C1">
        <w:rPr>
          <w:rFonts w:ascii="Arial" w:hAnsi="Arial" w:cs="Arial"/>
          <w:sz w:val="24"/>
          <w:szCs w:val="24"/>
        </w:rPr>
        <w:t>la Corte Interamericana, intérprete última de la Convención</w:t>
      </w:r>
      <w:r w:rsidR="00E377EF" w:rsidRPr="003522C1">
        <w:rPr>
          <w:rFonts w:ascii="Arial" w:hAnsi="Arial" w:cs="Arial"/>
          <w:sz w:val="24"/>
          <w:szCs w:val="24"/>
        </w:rPr>
        <w:t xml:space="preserve"> </w:t>
      </w:r>
      <w:proofErr w:type="gramStart"/>
      <w:r w:rsidR="00622DBC" w:rsidRPr="003522C1">
        <w:rPr>
          <w:rFonts w:ascii="Arial" w:hAnsi="Arial" w:cs="Arial"/>
          <w:sz w:val="24"/>
          <w:szCs w:val="24"/>
        </w:rPr>
        <w:t>Americana….</w:t>
      </w:r>
      <w:proofErr w:type="gramEnd"/>
      <w:r w:rsidR="00622DBC" w:rsidRPr="003522C1">
        <w:rPr>
          <w:rFonts w:ascii="Arial" w:hAnsi="Arial" w:cs="Arial"/>
          <w:sz w:val="24"/>
          <w:szCs w:val="24"/>
        </w:rPr>
        <w:t>La ratificación de un tratado internacional (no solo la CADH)</w:t>
      </w:r>
      <w:r w:rsidR="00E377EF" w:rsidRPr="003522C1">
        <w:rPr>
          <w:rFonts w:ascii="Arial" w:hAnsi="Arial" w:cs="Arial"/>
          <w:sz w:val="24"/>
          <w:szCs w:val="24"/>
        </w:rPr>
        <w:t xml:space="preserve"> </w:t>
      </w:r>
      <w:r w:rsidR="00622DBC" w:rsidRPr="003522C1">
        <w:rPr>
          <w:rFonts w:ascii="Arial" w:hAnsi="Arial" w:cs="Arial"/>
          <w:sz w:val="24"/>
          <w:szCs w:val="24"/>
        </w:rPr>
        <w:t>obliga a los Estados a velar por su cumplimiento aún por encima del ord</w:t>
      </w:r>
      <w:r w:rsidR="006B4556" w:rsidRPr="003522C1">
        <w:rPr>
          <w:rFonts w:ascii="Arial" w:hAnsi="Arial" w:cs="Arial"/>
          <w:sz w:val="24"/>
          <w:szCs w:val="24"/>
        </w:rPr>
        <w:t>enamiento jurídico interno</w:t>
      </w:r>
      <w:r w:rsidR="00C135D4" w:rsidRPr="003522C1">
        <w:rPr>
          <w:rFonts w:ascii="Arial" w:hAnsi="Arial" w:cs="Arial"/>
          <w:sz w:val="24"/>
          <w:szCs w:val="24"/>
        </w:rPr>
        <w:t>.</w:t>
      </w:r>
      <w:r w:rsidR="00722C7A" w:rsidRPr="003522C1">
        <w:rPr>
          <w:rFonts w:ascii="Arial" w:hAnsi="Arial" w:cs="Arial"/>
          <w:sz w:val="24"/>
          <w:szCs w:val="24"/>
          <w:vertAlign w:val="subscript"/>
        </w:rPr>
        <w:t>4</w:t>
      </w:r>
      <w:r w:rsidR="00BE5AB3" w:rsidRPr="003522C1">
        <w:rPr>
          <w:rFonts w:ascii="Arial" w:hAnsi="Arial" w:cs="Arial"/>
          <w:sz w:val="24"/>
          <w:szCs w:val="24"/>
          <w:vertAlign w:val="subscript"/>
        </w:rPr>
        <w:t>.</w:t>
      </w:r>
      <w:r w:rsidR="005421C2" w:rsidRPr="003522C1">
        <w:rPr>
          <w:rFonts w:ascii="Arial" w:hAnsi="Arial" w:cs="Arial"/>
          <w:b/>
          <w:sz w:val="24"/>
          <w:szCs w:val="24"/>
        </w:rPr>
        <w:t xml:space="preserve"> </w:t>
      </w:r>
      <w:r w:rsidR="005505F0" w:rsidRPr="003522C1">
        <w:rPr>
          <w:rFonts w:ascii="Arial" w:hAnsi="Arial" w:cs="Arial"/>
          <w:sz w:val="24"/>
          <w:szCs w:val="24"/>
        </w:rPr>
        <w:t xml:space="preserve">En este sentido el art.27 de la </w:t>
      </w:r>
      <w:r w:rsidR="00A151A3" w:rsidRPr="003522C1">
        <w:rPr>
          <w:rFonts w:ascii="Arial" w:hAnsi="Arial" w:cs="Arial"/>
          <w:sz w:val="24"/>
          <w:szCs w:val="24"/>
        </w:rPr>
        <w:t>Convención</w:t>
      </w:r>
      <w:r w:rsidR="005505F0" w:rsidRPr="003522C1">
        <w:rPr>
          <w:rFonts w:ascii="Arial" w:hAnsi="Arial" w:cs="Arial"/>
          <w:sz w:val="24"/>
          <w:szCs w:val="24"/>
        </w:rPr>
        <w:t xml:space="preserve"> de Viena</w:t>
      </w:r>
      <w:r w:rsidR="00A151A3" w:rsidRPr="003522C1">
        <w:rPr>
          <w:rFonts w:ascii="Arial" w:hAnsi="Arial" w:cs="Arial"/>
          <w:sz w:val="24"/>
          <w:szCs w:val="24"/>
        </w:rPr>
        <w:t xml:space="preserve"> de 1969</w:t>
      </w:r>
      <w:r w:rsidR="005505F0" w:rsidRPr="003522C1">
        <w:rPr>
          <w:rFonts w:ascii="Arial" w:hAnsi="Arial" w:cs="Arial"/>
          <w:sz w:val="24"/>
          <w:szCs w:val="24"/>
        </w:rPr>
        <w:t xml:space="preserve"> sobre</w:t>
      </w:r>
      <w:r w:rsidR="00EB3FED" w:rsidRPr="003522C1">
        <w:rPr>
          <w:rFonts w:ascii="Arial" w:hAnsi="Arial" w:cs="Arial"/>
          <w:sz w:val="24"/>
          <w:szCs w:val="24"/>
        </w:rPr>
        <w:t xml:space="preserve"> el Derecho a</w:t>
      </w:r>
      <w:r w:rsidR="005505F0" w:rsidRPr="003522C1">
        <w:rPr>
          <w:rFonts w:ascii="Arial" w:hAnsi="Arial" w:cs="Arial"/>
          <w:sz w:val="24"/>
          <w:szCs w:val="24"/>
        </w:rPr>
        <w:t xml:space="preserve"> la interpretación de los Tratados </w:t>
      </w:r>
      <w:proofErr w:type="gramStart"/>
      <w:r w:rsidR="005505F0" w:rsidRPr="003522C1">
        <w:rPr>
          <w:rFonts w:ascii="Arial" w:hAnsi="Arial" w:cs="Arial"/>
          <w:sz w:val="24"/>
          <w:szCs w:val="24"/>
        </w:rPr>
        <w:t>dispone</w:t>
      </w:r>
      <w:r w:rsidR="00A151A3" w:rsidRPr="003522C1">
        <w:rPr>
          <w:rStyle w:val="Textoennegrita"/>
          <w:rFonts w:ascii="Arial" w:hAnsi="Arial" w:cs="Arial"/>
          <w:b w:val="0"/>
          <w:color w:val="000000"/>
          <w:sz w:val="24"/>
          <w:szCs w:val="24"/>
        </w:rPr>
        <w:t xml:space="preserve">  que</w:t>
      </w:r>
      <w:proofErr w:type="gramEnd"/>
      <w:r w:rsidR="00A151A3" w:rsidRPr="003522C1">
        <w:rPr>
          <w:rStyle w:val="Textoennegrita"/>
          <w:rFonts w:ascii="Arial" w:hAnsi="Arial" w:cs="Arial"/>
          <w:b w:val="0"/>
          <w:color w:val="000000"/>
          <w:sz w:val="24"/>
          <w:szCs w:val="24"/>
        </w:rPr>
        <w:t xml:space="preserve"> un Estado no puede invocar su legislación interna para incumplir una obligación internacional.</w:t>
      </w:r>
      <w:r w:rsidR="00722C7A" w:rsidRPr="003522C1">
        <w:rPr>
          <w:rStyle w:val="Textoennegrita"/>
          <w:rFonts w:ascii="Arial" w:hAnsi="Arial" w:cs="Arial"/>
          <w:b w:val="0"/>
          <w:color w:val="000000"/>
          <w:sz w:val="24"/>
          <w:szCs w:val="24"/>
        </w:rPr>
        <w:t xml:space="preserve"> También me parce importante resaltar </w:t>
      </w:r>
      <w:proofErr w:type="gramStart"/>
      <w:r w:rsidR="00722C7A" w:rsidRPr="003522C1">
        <w:rPr>
          <w:rStyle w:val="Textoennegrita"/>
          <w:rFonts w:ascii="Arial" w:hAnsi="Arial" w:cs="Arial"/>
          <w:b w:val="0"/>
          <w:color w:val="000000"/>
          <w:sz w:val="24"/>
          <w:szCs w:val="24"/>
        </w:rPr>
        <w:t>que  en</w:t>
      </w:r>
      <w:proofErr w:type="gramEnd"/>
      <w:r w:rsidR="00722C7A" w:rsidRPr="003522C1">
        <w:rPr>
          <w:rStyle w:val="Textoennegrita"/>
          <w:rFonts w:ascii="Arial" w:hAnsi="Arial" w:cs="Arial"/>
          <w:b w:val="0"/>
          <w:color w:val="000000"/>
          <w:sz w:val="24"/>
          <w:szCs w:val="24"/>
        </w:rPr>
        <w:t xml:space="preserve"> </w:t>
      </w:r>
      <w:r w:rsidR="00622DBC" w:rsidRPr="003522C1">
        <w:rPr>
          <w:rFonts w:ascii="Arial" w:hAnsi="Arial" w:cs="Arial"/>
          <w:sz w:val="24"/>
          <w:szCs w:val="24"/>
          <w:lang w:val="es-AR"/>
        </w:rPr>
        <w:t xml:space="preserve"> Argentina  </w:t>
      </w:r>
      <w:r w:rsidR="00622DBC" w:rsidRPr="003522C1">
        <w:rPr>
          <w:rFonts w:ascii="Arial" w:hAnsi="Arial" w:cs="Arial"/>
          <w:sz w:val="24"/>
          <w:szCs w:val="24"/>
        </w:rPr>
        <w:t xml:space="preserve">“…Tras la reforma constitucional de 1994, deben tenerse en cuenta las directivas que surgen del derecho internacional de los Derechos Humanos. En el precedente </w:t>
      </w:r>
      <w:proofErr w:type="spellStart"/>
      <w:r w:rsidR="00622DBC" w:rsidRPr="003522C1">
        <w:rPr>
          <w:rFonts w:ascii="Arial" w:hAnsi="Arial" w:cs="Arial"/>
          <w:sz w:val="24"/>
          <w:szCs w:val="24"/>
        </w:rPr>
        <w:t>Mazzeo</w:t>
      </w:r>
      <w:proofErr w:type="spellEnd"/>
      <w:r w:rsidR="00722C7A" w:rsidRPr="003522C1">
        <w:rPr>
          <w:rFonts w:ascii="Arial" w:hAnsi="Arial" w:cs="Arial"/>
          <w:sz w:val="24"/>
          <w:szCs w:val="24"/>
        </w:rPr>
        <w:t xml:space="preserve"> </w:t>
      </w:r>
      <w:r w:rsidR="006B4556" w:rsidRPr="003522C1">
        <w:rPr>
          <w:rFonts w:ascii="Arial" w:hAnsi="Arial" w:cs="Arial"/>
          <w:sz w:val="24"/>
          <w:szCs w:val="24"/>
        </w:rPr>
        <w:t xml:space="preserve">(Fallo 330:3248, 13/07/2007) </w:t>
      </w:r>
      <w:r w:rsidR="00230729" w:rsidRPr="003522C1">
        <w:rPr>
          <w:rFonts w:ascii="Arial" w:hAnsi="Arial" w:cs="Arial"/>
          <w:sz w:val="24"/>
          <w:szCs w:val="24"/>
        </w:rPr>
        <w:t>se enfatizó</w:t>
      </w:r>
      <w:r w:rsidR="00622DBC" w:rsidRPr="003522C1">
        <w:rPr>
          <w:rFonts w:ascii="Arial" w:hAnsi="Arial" w:cs="Arial"/>
          <w:sz w:val="24"/>
          <w:szCs w:val="24"/>
        </w:rPr>
        <w:t xml:space="preserve"> que la interpretación de la Convención Americana sobre Derechos Humanos debe guiarse por la jurisprudencia de la Corte Interamericana de Derechos Humanos (C.I.D.H)  que importa una insoslayable pauta de interpretación para los poderes constituidos argentinos en el ámbito de su competencia y, en consecuencia, también para la Corte Suprema de Justicia de la Nación, a los efectos de resguardar las obligaciones asumidas por el Estado argentino en el sistema interamericano de protección de los derechos humanos ( </w:t>
      </w:r>
      <w:proofErr w:type="spellStart"/>
      <w:r w:rsidR="00622DBC" w:rsidRPr="003522C1">
        <w:rPr>
          <w:rFonts w:ascii="Arial" w:hAnsi="Arial" w:cs="Arial"/>
          <w:sz w:val="24"/>
          <w:szCs w:val="24"/>
        </w:rPr>
        <w:t>consid</w:t>
      </w:r>
      <w:proofErr w:type="spellEnd"/>
      <w:r w:rsidR="00622DBC" w:rsidRPr="003522C1">
        <w:rPr>
          <w:rFonts w:ascii="Arial" w:hAnsi="Arial" w:cs="Arial"/>
          <w:sz w:val="24"/>
          <w:szCs w:val="24"/>
        </w:rPr>
        <w:t xml:space="preserve">. 20). La Corte IDH ha señalado que es consciente de que los jueces y tribunales </w:t>
      </w:r>
      <w:r w:rsidR="00622DBC" w:rsidRPr="003522C1">
        <w:rPr>
          <w:rFonts w:ascii="Arial" w:hAnsi="Arial" w:cs="Arial"/>
          <w:sz w:val="24"/>
          <w:szCs w:val="24"/>
        </w:rPr>
        <w:lastRenderedPageBreak/>
        <w:t xml:space="preserve">internos están </w:t>
      </w:r>
      <w:r w:rsidR="00BE5AB3" w:rsidRPr="003522C1">
        <w:rPr>
          <w:rFonts w:ascii="Arial" w:hAnsi="Arial" w:cs="Arial"/>
          <w:sz w:val="24"/>
          <w:szCs w:val="24"/>
        </w:rPr>
        <w:t>sujetos</w:t>
      </w:r>
      <w:r w:rsidR="00622DBC" w:rsidRPr="003522C1">
        <w:rPr>
          <w:rFonts w:ascii="Arial" w:hAnsi="Arial" w:cs="Arial"/>
          <w:sz w:val="24"/>
          <w:szCs w:val="24"/>
        </w:rPr>
        <w:t xml:space="preserve"> al imperio de la ley y, por ello, están obligados a aplicar las disposiciones vigentes en el ordenamiento jurídico. Pero cuando un Estado ha ratificado un tratado internacional como la Convención Americana, sus jueces, como parte del aparato del Estado, también están sometidos a ella, lo que les obliga a velar porque los efectos de las disposiciones de la Convención no se vean mermados por la aplicación de leyes contrarias a su objeto y fin, y que desde un inicio carecen de efectos jurídicos. Concl</w:t>
      </w:r>
      <w:r w:rsidR="00BE5AB3" w:rsidRPr="003522C1">
        <w:rPr>
          <w:rFonts w:ascii="Arial" w:hAnsi="Arial" w:cs="Arial"/>
          <w:sz w:val="24"/>
          <w:szCs w:val="24"/>
        </w:rPr>
        <w:t>uyó que “e</w:t>
      </w:r>
      <w:r w:rsidR="00622DBC" w:rsidRPr="003522C1">
        <w:rPr>
          <w:rFonts w:ascii="Arial" w:hAnsi="Arial" w:cs="Arial"/>
          <w:sz w:val="24"/>
          <w:szCs w:val="24"/>
        </w:rPr>
        <w:t xml:space="preserve">n otras palabras, el Poder judicial debe ejercer una especie de control de convencionalidad entre las normas jurídicas internas que aplican en los casos concretos y la Convención Americana sobre Derechos Humanos” (caso “Almonacid”, del 26 de </w:t>
      </w:r>
      <w:proofErr w:type="gramStart"/>
      <w:r w:rsidR="00622DBC" w:rsidRPr="003522C1">
        <w:rPr>
          <w:rFonts w:ascii="Arial" w:hAnsi="Arial" w:cs="Arial"/>
          <w:sz w:val="24"/>
          <w:szCs w:val="24"/>
        </w:rPr>
        <w:t>Septiembre</w:t>
      </w:r>
      <w:proofErr w:type="gramEnd"/>
      <w:r w:rsidR="00622DBC" w:rsidRPr="003522C1">
        <w:rPr>
          <w:rFonts w:ascii="Arial" w:hAnsi="Arial" w:cs="Arial"/>
          <w:sz w:val="24"/>
          <w:szCs w:val="24"/>
        </w:rPr>
        <w:t xml:space="preserve"> de 2006, </w:t>
      </w:r>
      <w:proofErr w:type="spellStart"/>
      <w:r w:rsidR="00622DBC" w:rsidRPr="003522C1">
        <w:rPr>
          <w:rFonts w:ascii="Arial" w:hAnsi="Arial" w:cs="Arial"/>
          <w:sz w:val="24"/>
          <w:szCs w:val="24"/>
        </w:rPr>
        <w:t>parág</w:t>
      </w:r>
      <w:proofErr w:type="spellEnd"/>
      <w:r w:rsidR="00622DBC" w:rsidRPr="003522C1">
        <w:rPr>
          <w:rFonts w:ascii="Arial" w:hAnsi="Arial" w:cs="Arial"/>
          <w:sz w:val="24"/>
          <w:szCs w:val="24"/>
        </w:rPr>
        <w:t>. 124, consid.129. En diversas ocasiones posteriores, la Corte IDH ha profundizado el concepto fijado</w:t>
      </w:r>
      <w:r w:rsidR="00230729" w:rsidRPr="003522C1">
        <w:rPr>
          <w:rFonts w:ascii="Arial" w:hAnsi="Arial" w:cs="Arial"/>
          <w:sz w:val="24"/>
          <w:szCs w:val="24"/>
        </w:rPr>
        <w:t xml:space="preserve"> en el citado precedente</w:t>
      </w:r>
      <w:r w:rsidR="00861108" w:rsidRPr="003522C1">
        <w:rPr>
          <w:rFonts w:ascii="Arial" w:hAnsi="Arial" w:cs="Arial"/>
          <w:sz w:val="24"/>
          <w:szCs w:val="24"/>
        </w:rPr>
        <w:t xml:space="preserve"> </w:t>
      </w:r>
      <w:r w:rsidR="00230729" w:rsidRPr="003522C1">
        <w:rPr>
          <w:rFonts w:ascii="Arial" w:hAnsi="Arial" w:cs="Arial"/>
          <w:sz w:val="24"/>
          <w:szCs w:val="24"/>
        </w:rPr>
        <w:t>“</w:t>
      </w:r>
      <w:r w:rsidR="00622DBC" w:rsidRPr="003522C1">
        <w:rPr>
          <w:rFonts w:ascii="Arial" w:hAnsi="Arial" w:cs="Arial"/>
          <w:sz w:val="24"/>
          <w:szCs w:val="24"/>
        </w:rPr>
        <w:t>Almonacid</w:t>
      </w:r>
      <w:r w:rsidR="00230729" w:rsidRPr="003522C1">
        <w:rPr>
          <w:rFonts w:ascii="Arial" w:hAnsi="Arial" w:cs="Arial"/>
          <w:sz w:val="24"/>
          <w:szCs w:val="24"/>
        </w:rPr>
        <w:t>”</w:t>
      </w:r>
      <w:r w:rsidR="00622DBC" w:rsidRPr="003522C1">
        <w:rPr>
          <w:rFonts w:ascii="Arial" w:hAnsi="Arial" w:cs="Arial"/>
          <w:sz w:val="24"/>
          <w:szCs w:val="24"/>
        </w:rPr>
        <w:t xml:space="preserve">. En efecto, el caso </w:t>
      </w:r>
      <w:r w:rsidR="00230729" w:rsidRPr="003522C1">
        <w:rPr>
          <w:rFonts w:ascii="Arial" w:hAnsi="Arial" w:cs="Arial"/>
          <w:sz w:val="24"/>
          <w:szCs w:val="24"/>
        </w:rPr>
        <w:t>“</w:t>
      </w:r>
      <w:r w:rsidR="00622DBC" w:rsidRPr="003522C1">
        <w:rPr>
          <w:rFonts w:ascii="Arial" w:hAnsi="Arial" w:cs="Arial"/>
          <w:sz w:val="24"/>
          <w:szCs w:val="24"/>
        </w:rPr>
        <w:t>Trabajadores Cesados del Congreso (Aguado Alfaro y otros) vs. Perú”, del 24 de noviembre de 2006, parág.</w:t>
      </w:r>
      <w:r w:rsidR="00F052EA" w:rsidRPr="003522C1">
        <w:rPr>
          <w:rFonts w:ascii="Arial" w:hAnsi="Arial" w:cs="Arial"/>
          <w:sz w:val="24"/>
          <w:szCs w:val="24"/>
        </w:rPr>
        <w:t xml:space="preserve">128 </w:t>
      </w:r>
      <w:proofErr w:type="gramStart"/>
      <w:r w:rsidR="00F052EA" w:rsidRPr="003522C1">
        <w:rPr>
          <w:rFonts w:ascii="Arial" w:hAnsi="Arial" w:cs="Arial"/>
          <w:sz w:val="24"/>
          <w:szCs w:val="24"/>
        </w:rPr>
        <w:t>( La</w:t>
      </w:r>
      <w:proofErr w:type="gramEnd"/>
      <w:r w:rsidR="00F052EA" w:rsidRPr="003522C1">
        <w:rPr>
          <w:rFonts w:ascii="Arial" w:hAnsi="Arial" w:cs="Arial"/>
          <w:sz w:val="24"/>
          <w:szCs w:val="24"/>
        </w:rPr>
        <w:t xml:space="preserve"> Corte en forma mayoritaria menciona expresamente el</w:t>
      </w:r>
      <w:r w:rsidR="00230729" w:rsidRPr="003522C1">
        <w:rPr>
          <w:rFonts w:ascii="Arial" w:hAnsi="Arial" w:cs="Arial"/>
          <w:sz w:val="24"/>
          <w:szCs w:val="24"/>
        </w:rPr>
        <w:t xml:space="preserve"> control de convencionalidad y e</w:t>
      </w:r>
      <w:r w:rsidR="00F052EA" w:rsidRPr="003522C1">
        <w:rPr>
          <w:rFonts w:ascii="Arial" w:hAnsi="Arial" w:cs="Arial"/>
          <w:sz w:val="24"/>
          <w:szCs w:val="24"/>
        </w:rPr>
        <w:t>l deber de los jueces nacionales de desarrollarlo ex oficio)</w:t>
      </w:r>
      <w:r w:rsidR="00622DBC" w:rsidRPr="003522C1">
        <w:rPr>
          <w:rFonts w:ascii="Arial" w:hAnsi="Arial" w:cs="Arial"/>
          <w:sz w:val="24"/>
          <w:szCs w:val="24"/>
        </w:rPr>
        <w:t xml:space="preserve">. Tal criterio fue reiterado alguno años más tarde, expresado en similares términos, en los casos “Ibsen Cárdenas e Ibsen Peña vs. </w:t>
      </w:r>
      <w:proofErr w:type="gramStart"/>
      <w:r w:rsidR="00622DBC" w:rsidRPr="003522C1">
        <w:rPr>
          <w:rFonts w:ascii="Arial" w:hAnsi="Arial" w:cs="Arial"/>
          <w:sz w:val="24"/>
          <w:szCs w:val="24"/>
        </w:rPr>
        <w:t>Bolivia”(</w:t>
      </w:r>
      <w:proofErr w:type="gramEnd"/>
      <w:r w:rsidR="00622DBC" w:rsidRPr="003522C1">
        <w:rPr>
          <w:rFonts w:ascii="Arial" w:hAnsi="Arial" w:cs="Arial"/>
          <w:sz w:val="24"/>
          <w:szCs w:val="24"/>
        </w:rPr>
        <w:t xml:space="preserve"> del 1° de septiembre de 2010, </w:t>
      </w:r>
      <w:proofErr w:type="spellStart"/>
      <w:r w:rsidR="00622DBC" w:rsidRPr="003522C1">
        <w:rPr>
          <w:rFonts w:ascii="Arial" w:hAnsi="Arial" w:cs="Arial"/>
          <w:sz w:val="24"/>
          <w:szCs w:val="24"/>
        </w:rPr>
        <w:t>parág</w:t>
      </w:r>
      <w:proofErr w:type="spellEnd"/>
      <w:r w:rsidR="00622DBC" w:rsidRPr="003522C1">
        <w:rPr>
          <w:rFonts w:ascii="Arial" w:hAnsi="Arial" w:cs="Arial"/>
          <w:sz w:val="24"/>
          <w:szCs w:val="24"/>
        </w:rPr>
        <w:t>. 202); “</w:t>
      </w:r>
      <w:r w:rsidRPr="003522C1">
        <w:rPr>
          <w:rFonts w:ascii="Arial" w:hAnsi="Arial" w:cs="Arial"/>
          <w:sz w:val="24"/>
          <w:szCs w:val="24"/>
        </w:rPr>
        <w:t>Gómez</w:t>
      </w:r>
      <w:r>
        <w:rPr>
          <w:rFonts w:ascii="Arial" w:hAnsi="Arial" w:cs="Arial"/>
          <w:sz w:val="24"/>
          <w:szCs w:val="24"/>
        </w:rPr>
        <w:t xml:space="preserve"> </w:t>
      </w:r>
      <w:r w:rsidR="00622DBC" w:rsidRPr="003522C1">
        <w:rPr>
          <w:rFonts w:ascii="Arial" w:hAnsi="Arial" w:cs="Arial"/>
          <w:sz w:val="24"/>
          <w:szCs w:val="24"/>
        </w:rPr>
        <w:t xml:space="preserve">Lund y otros </w:t>
      </w:r>
      <w:proofErr w:type="gramStart"/>
      <w:r w:rsidR="00622DBC" w:rsidRPr="003522C1">
        <w:rPr>
          <w:rFonts w:ascii="Arial" w:hAnsi="Arial" w:cs="Arial"/>
          <w:sz w:val="24"/>
          <w:szCs w:val="24"/>
        </w:rPr>
        <w:t xml:space="preserve">( </w:t>
      </w:r>
      <w:proofErr w:type="spellStart"/>
      <w:r w:rsidR="00622DBC" w:rsidRPr="003522C1">
        <w:rPr>
          <w:rFonts w:ascii="Arial" w:hAnsi="Arial" w:cs="Arial"/>
          <w:sz w:val="24"/>
          <w:szCs w:val="24"/>
        </w:rPr>
        <w:t>Gerrlha</w:t>
      </w:r>
      <w:proofErr w:type="spellEnd"/>
      <w:proofErr w:type="gramEnd"/>
      <w:r w:rsidR="00622DBC" w:rsidRPr="003522C1">
        <w:rPr>
          <w:rFonts w:ascii="Arial" w:hAnsi="Arial" w:cs="Arial"/>
          <w:sz w:val="24"/>
          <w:szCs w:val="24"/>
        </w:rPr>
        <w:t xml:space="preserve"> do </w:t>
      </w:r>
      <w:proofErr w:type="spellStart"/>
      <w:r w:rsidR="00622DBC" w:rsidRPr="003522C1">
        <w:rPr>
          <w:rFonts w:ascii="Arial" w:hAnsi="Arial" w:cs="Arial"/>
          <w:sz w:val="24"/>
          <w:szCs w:val="24"/>
        </w:rPr>
        <w:t>Raguaia</w:t>
      </w:r>
      <w:proofErr w:type="spellEnd"/>
      <w:r w:rsidR="00622DBC" w:rsidRPr="003522C1">
        <w:rPr>
          <w:rFonts w:ascii="Arial" w:hAnsi="Arial" w:cs="Arial"/>
          <w:sz w:val="24"/>
          <w:szCs w:val="24"/>
        </w:rPr>
        <w:t xml:space="preserve">”)  vs. Brasil ( del 24 de noviembre de 2010, </w:t>
      </w:r>
      <w:proofErr w:type="spellStart"/>
      <w:r w:rsidR="00622DBC" w:rsidRPr="003522C1">
        <w:rPr>
          <w:rFonts w:ascii="Arial" w:hAnsi="Arial" w:cs="Arial"/>
          <w:sz w:val="24"/>
          <w:szCs w:val="24"/>
        </w:rPr>
        <w:t>parág</w:t>
      </w:r>
      <w:proofErr w:type="spellEnd"/>
      <w:r w:rsidR="00622DBC" w:rsidRPr="003522C1">
        <w:rPr>
          <w:rFonts w:ascii="Arial" w:hAnsi="Arial" w:cs="Arial"/>
          <w:sz w:val="24"/>
          <w:szCs w:val="24"/>
        </w:rPr>
        <w:t xml:space="preserve">. 176) y “Cabrera y Montiel Flores vs. </w:t>
      </w:r>
      <w:proofErr w:type="gramStart"/>
      <w:r w:rsidRPr="003522C1">
        <w:rPr>
          <w:rFonts w:ascii="Arial" w:hAnsi="Arial" w:cs="Arial"/>
          <w:sz w:val="24"/>
          <w:szCs w:val="24"/>
        </w:rPr>
        <w:t>México</w:t>
      </w:r>
      <w:r w:rsidR="00622DBC" w:rsidRPr="003522C1">
        <w:rPr>
          <w:rFonts w:ascii="Arial" w:hAnsi="Arial" w:cs="Arial"/>
          <w:sz w:val="24"/>
          <w:szCs w:val="24"/>
        </w:rPr>
        <w:t>”(</w:t>
      </w:r>
      <w:proofErr w:type="gramEnd"/>
      <w:r w:rsidR="00622DBC" w:rsidRPr="003522C1">
        <w:rPr>
          <w:rFonts w:ascii="Arial" w:hAnsi="Arial" w:cs="Arial"/>
          <w:sz w:val="24"/>
          <w:szCs w:val="24"/>
        </w:rPr>
        <w:t xml:space="preserve"> del 26 de novie</w:t>
      </w:r>
      <w:r w:rsidR="00230729" w:rsidRPr="003522C1">
        <w:rPr>
          <w:rFonts w:ascii="Arial" w:hAnsi="Arial" w:cs="Arial"/>
          <w:sz w:val="24"/>
          <w:szCs w:val="24"/>
        </w:rPr>
        <w:t xml:space="preserve">mbre de 2010, </w:t>
      </w:r>
      <w:proofErr w:type="spellStart"/>
      <w:r w:rsidR="00230729" w:rsidRPr="003522C1">
        <w:rPr>
          <w:rFonts w:ascii="Arial" w:hAnsi="Arial" w:cs="Arial"/>
          <w:sz w:val="24"/>
          <w:szCs w:val="24"/>
        </w:rPr>
        <w:t>parág</w:t>
      </w:r>
      <w:proofErr w:type="spellEnd"/>
      <w:r w:rsidR="00230729" w:rsidRPr="003522C1">
        <w:rPr>
          <w:rFonts w:ascii="Arial" w:hAnsi="Arial" w:cs="Arial"/>
          <w:sz w:val="24"/>
          <w:szCs w:val="24"/>
        </w:rPr>
        <w:t>. 225)</w:t>
      </w:r>
      <w:r w:rsidR="00BE5AB3" w:rsidRPr="003522C1">
        <w:rPr>
          <w:rFonts w:ascii="Arial" w:hAnsi="Arial" w:cs="Arial"/>
          <w:sz w:val="24"/>
          <w:szCs w:val="24"/>
          <w:vertAlign w:val="subscript"/>
        </w:rPr>
        <w:t>5.</w:t>
      </w:r>
      <w:r w:rsidR="00DE5558">
        <w:rPr>
          <w:rFonts w:ascii="Arial" w:hAnsi="Arial" w:cs="Arial"/>
          <w:sz w:val="24"/>
          <w:szCs w:val="24"/>
          <w:vertAlign w:val="subscript"/>
        </w:rPr>
        <w:t xml:space="preserve"> </w:t>
      </w:r>
    </w:p>
    <w:p w:rsidR="00DE5558" w:rsidRDefault="00DE5558" w:rsidP="00910107">
      <w:pPr>
        <w:pStyle w:val="Prrafodelista"/>
        <w:spacing w:line="360" w:lineRule="auto"/>
        <w:ind w:left="0"/>
        <w:jc w:val="both"/>
        <w:rPr>
          <w:rFonts w:ascii="Arial" w:hAnsi="Arial" w:cs="Arial"/>
          <w:sz w:val="24"/>
          <w:szCs w:val="24"/>
        </w:rPr>
      </w:pPr>
      <w:r w:rsidRPr="00DE5558">
        <w:rPr>
          <w:rFonts w:ascii="Arial" w:hAnsi="Arial" w:cs="Arial"/>
          <w:sz w:val="24"/>
          <w:szCs w:val="24"/>
        </w:rPr>
        <w:t xml:space="preserve">Es de destacar que a partir del caso “Gelman vs. Uruguay” los tribunales no solo </w:t>
      </w:r>
      <w:r w:rsidR="00EA2CFF" w:rsidRPr="00DE5558">
        <w:rPr>
          <w:rFonts w:ascii="Arial" w:hAnsi="Arial" w:cs="Arial"/>
          <w:sz w:val="24"/>
          <w:szCs w:val="24"/>
        </w:rPr>
        <w:t>debe</w:t>
      </w:r>
      <w:r w:rsidR="00C66EFE">
        <w:rPr>
          <w:rFonts w:ascii="Arial" w:hAnsi="Arial" w:cs="Arial"/>
          <w:sz w:val="24"/>
          <w:szCs w:val="24"/>
        </w:rPr>
        <w:t>n</w:t>
      </w:r>
      <w:r w:rsidRPr="00DE5558">
        <w:rPr>
          <w:rFonts w:ascii="Arial" w:hAnsi="Arial" w:cs="Arial"/>
          <w:sz w:val="24"/>
          <w:szCs w:val="24"/>
        </w:rPr>
        <w:t xml:space="preserve"> aplicar y realizar el control de conven</w:t>
      </w:r>
      <w:r>
        <w:rPr>
          <w:rFonts w:ascii="Arial" w:hAnsi="Arial" w:cs="Arial"/>
          <w:sz w:val="24"/>
          <w:szCs w:val="24"/>
        </w:rPr>
        <w:t>cionalidad, sino que</w:t>
      </w:r>
      <w:r w:rsidRPr="00DE5558">
        <w:rPr>
          <w:rFonts w:ascii="Arial" w:hAnsi="Arial" w:cs="Arial"/>
          <w:sz w:val="24"/>
          <w:szCs w:val="24"/>
        </w:rPr>
        <w:t xml:space="preserve"> todos los órganos de los Estados que han ratificado la CADH </w:t>
      </w:r>
      <w:r>
        <w:rPr>
          <w:rFonts w:ascii="Arial" w:hAnsi="Arial" w:cs="Arial"/>
          <w:sz w:val="24"/>
          <w:szCs w:val="24"/>
        </w:rPr>
        <w:t>deben</w:t>
      </w:r>
      <w:r w:rsidRPr="00DE5558">
        <w:rPr>
          <w:rFonts w:ascii="Arial" w:hAnsi="Arial" w:cs="Arial"/>
          <w:sz w:val="24"/>
          <w:szCs w:val="24"/>
        </w:rPr>
        <w:t xml:space="preserve"> realizar el mismo. La Corte IDH al respecto dijo: “…los jueces y órganos vinculados a la </w:t>
      </w:r>
      <w:r w:rsidRPr="00DE5558">
        <w:rPr>
          <w:rFonts w:ascii="Arial" w:hAnsi="Arial" w:cs="Arial"/>
          <w:sz w:val="24"/>
          <w:szCs w:val="24"/>
        </w:rPr>
        <w:lastRenderedPageBreak/>
        <w:t>administración de justicia de todos los niveles” están obligados a ejercer aun de oficio, el control de convencionalidad</w:t>
      </w:r>
      <w:r>
        <w:rPr>
          <w:rFonts w:ascii="Arial" w:hAnsi="Arial" w:cs="Arial"/>
          <w:sz w:val="24"/>
          <w:szCs w:val="24"/>
        </w:rPr>
        <w:t>.</w:t>
      </w:r>
    </w:p>
    <w:p w:rsidR="00DE5558" w:rsidRDefault="00DE5558" w:rsidP="00910107">
      <w:pPr>
        <w:pStyle w:val="Prrafodelista"/>
        <w:spacing w:line="360" w:lineRule="auto"/>
        <w:ind w:left="0"/>
        <w:jc w:val="both"/>
        <w:rPr>
          <w:rFonts w:ascii="Arial" w:hAnsi="Arial" w:cs="Arial"/>
          <w:sz w:val="24"/>
          <w:szCs w:val="24"/>
        </w:rPr>
      </w:pPr>
    </w:p>
    <w:p w:rsidR="00DE5558" w:rsidRDefault="00230729" w:rsidP="00910107">
      <w:pPr>
        <w:pStyle w:val="Prrafodelista"/>
        <w:spacing w:line="360" w:lineRule="auto"/>
        <w:ind w:left="0"/>
        <w:jc w:val="both"/>
        <w:rPr>
          <w:rFonts w:ascii="Arial" w:hAnsi="Arial" w:cs="Arial"/>
          <w:b/>
          <w:sz w:val="24"/>
          <w:szCs w:val="24"/>
          <w:lang w:val="es-AR"/>
        </w:rPr>
      </w:pPr>
      <w:r w:rsidRPr="003522C1">
        <w:rPr>
          <w:rFonts w:ascii="Arial" w:hAnsi="Arial" w:cs="Arial"/>
          <w:b/>
          <w:sz w:val="24"/>
          <w:szCs w:val="24"/>
          <w:lang w:val="es-AR"/>
        </w:rPr>
        <w:t xml:space="preserve"> </w:t>
      </w:r>
      <w:proofErr w:type="gramStart"/>
      <w:r w:rsidR="00ED7983" w:rsidRPr="003522C1">
        <w:rPr>
          <w:rFonts w:ascii="Arial" w:hAnsi="Arial" w:cs="Arial"/>
          <w:b/>
          <w:sz w:val="24"/>
          <w:szCs w:val="24"/>
          <w:lang w:val="es-AR"/>
        </w:rPr>
        <w:t>c).-</w:t>
      </w:r>
      <w:proofErr w:type="gramEnd"/>
      <w:r w:rsidR="005421C2" w:rsidRPr="003522C1">
        <w:rPr>
          <w:rFonts w:ascii="Arial" w:hAnsi="Arial" w:cs="Arial"/>
          <w:b/>
          <w:sz w:val="24"/>
          <w:szCs w:val="24"/>
          <w:lang w:val="es-AR"/>
        </w:rPr>
        <w:t xml:space="preserve"> </w:t>
      </w:r>
      <w:r w:rsidRPr="003522C1">
        <w:rPr>
          <w:rFonts w:ascii="Arial" w:hAnsi="Arial" w:cs="Arial"/>
          <w:b/>
          <w:sz w:val="24"/>
          <w:szCs w:val="24"/>
          <w:lang w:val="es-AR"/>
        </w:rPr>
        <w:t>El  Control de Constitucionalidad en la Argentina:</w:t>
      </w:r>
      <w:r w:rsidR="0024405B" w:rsidRPr="003522C1">
        <w:rPr>
          <w:rFonts w:ascii="Arial" w:hAnsi="Arial" w:cs="Arial"/>
          <w:b/>
          <w:sz w:val="24"/>
          <w:szCs w:val="24"/>
          <w:lang w:val="es-AR"/>
        </w:rPr>
        <w:t xml:space="preserve"> </w:t>
      </w:r>
    </w:p>
    <w:p w:rsidR="006F435E" w:rsidRPr="00DE5558" w:rsidRDefault="00722C7A" w:rsidP="00910107">
      <w:pPr>
        <w:pStyle w:val="Prrafodelista"/>
        <w:spacing w:line="360" w:lineRule="auto"/>
        <w:ind w:left="0"/>
        <w:jc w:val="both"/>
        <w:rPr>
          <w:rFonts w:ascii="Arial" w:hAnsi="Arial" w:cs="Arial"/>
          <w:b/>
          <w:sz w:val="24"/>
          <w:szCs w:val="24"/>
          <w:lang w:val="es-AR"/>
        </w:rPr>
      </w:pPr>
      <w:r w:rsidRPr="003522C1">
        <w:rPr>
          <w:rFonts w:ascii="Arial" w:hAnsi="Arial" w:cs="Arial"/>
          <w:sz w:val="24"/>
          <w:szCs w:val="24"/>
          <w:lang w:val="es-AR"/>
        </w:rPr>
        <w:t>Parafraseando</w:t>
      </w:r>
      <w:r w:rsidR="00225C2B" w:rsidRPr="003522C1">
        <w:rPr>
          <w:rFonts w:ascii="Arial" w:hAnsi="Arial" w:cs="Arial"/>
          <w:sz w:val="24"/>
          <w:szCs w:val="24"/>
          <w:lang w:val="es-AR"/>
        </w:rPr>
        <w:t xml:space="preserve"> a Jorge Alejandro Amaya, quien expresa en su obra </w:t>
      </w:r>
      <w:proofErr w:type="gramStart"/>
      <w:r w:rsidR="00225C2B" w:rsidRPr="003522C1">
        <w:rPr>
          <w:rFonts w:ascii="Arial" w:hAnsi="Arial" w:cs="Arial"/>
          <w:sz w:val="24"/>
          <w:szCs w:val="24"/>
          <w:lang w:val="es-AR"/>
        </w:rPr>
        <w:t>que  la</w:t>
      </w:r>
      <w:proofErr w:type="gramEnd"/>
      <w:r w:rsidR="00225C2B" w:rsidRPr="003522C1">
        <w:rPr>
          <w:rFonts w:ascii="Arial" w:hAnsi="Arial" w:cs="Arial"/>
          <w:sz w:val="24"/>
          <w:szCs w:val="24"/>
          <w:lang w:val="es-AR"/>
        </w:rPr>
        <w:t xml:space="preserve">  </w:t>
      </w:r>
      <w:r w:rsidR="0011065B" w:rsidRPr="003522C1">
        <w:rPr>
          <w:rFonts w:ascii="Arial" w:hAnsi="Arial" w:cs="Arial"/>
          <w:sz w:val="24"/>
          <w:szCs w:val="24"/>
          <w:lang w:val="es-AR"/>
        </w:rPr>
        <w:t xml:space="preserve">República Argentina es un estado federal con constitución </w:t>
      </w:r>
      <w:r w:rsidR="00225C2B" w:rsidRPr="003522C1">
        <w:rPr>
          <w:rFonts w:ascii="Arial" w:hAnsi="Arial" w:cs="Arial"/>
          <w:sz w:val="24"/>
          <w:szCs w:val="24"/>
          <w:lang w:val="es-AR"/>
        </w:rPr>
        <w:t>rígida</w:t>
      </w:r>
      <w:r w:rsidR="0024405B" w:rsidRPr="003522C1">
        <w:rPr>
          <w:rFonts w:ascii="Arial" w:hAnsi="Arial" w:cs="Arial"/>
          <w:sz w:val="24"/>
          <w:szCs w:val="24"/>
          <w:lang w:val="es-AR"/>
        </w:rPr>
        <w:t xml:space="preserve"> (</w:t>
      </w:r>
      <w:r w:rsidR="00225C2B" w:rsidRPr="003522C1">
        <w:rPr>
          <w:rFonts w:ascii="Arial" w:hAnsi="Arial" w:cs="Arial"/>
          <w:sz w:val="24"/>
          <w:szCs w:val="24"/>
          <w:lang w:val="es-AR"/>
        </w:rPr>
        <w:t>según a</w:t>
      </w:r>
      <w:r w:rsidR="0011065B" w:rsidRPr="003522C1">
        <w:rPr>
          <w:rFonts w:ascii="Arial" w:hAnsi="Arial" w:cs="Arial"/>
          <w:sz w:val="24"/>
          <w:szCs w:val="24"/>
          <w:lang w:val="es-AR"/>
        </w:rPr>
        <w:t xml:space="preserve">rt.122, </w:t>
      </w:r>
      <w:r w:rsidR="008A231F" w:rsidRPr="003522C1">
        <w:rPr>
          <w:rFonts w:ascii="Arial" w:hAnsi="Arial" w:cs="Arial"/>
          <w:sz w:val="24"/>
          <w:szCs w:val="24"/>
          <w:lang w:val="es-AR"/>
        </w:rPr>
        <w:t>Const.</w:t>
      </w:r>
      <w:r w:rsidR="0011065B" w:rsidRPr="003522C1">
        <w:rPr>
          <w:rFonts w:ascii="Arial" w:hAnsi="Arial" w:cs="Arial"/>
          <w:sz w:val="24"/>
          <w:szCs w:val="24"/>
          <w:lang w:val="es-AR"/>
        </w:rPr>
        <w:t xml:space="preserve"> nacional, las provincias se dan sus propias constituciones y se rigen por ellas). Sus arts.31 y 75, inc.22 y 24, </w:t>
      </w:r>
      <w:r w:rsidR="00225C2B" w:rsidRPr="003522C1">
        <w:rPr>
          <w:rFonts w:ascii="Arial" w:hAnsi="Arial" w:cs="Arial"/>
          <w:sz w:val="24"/>
          <w:szCs w:val="24"/>
          <w:lang w:val="es-AR"/>
        </w:rPr>
        <w:t>establecen</w:t>
      </w:r>
      <w:r w:rsidR="0011065B" w:rsidRPr="003522C1">
        <w:rPr>
          <w:rFonts w:ascii="Arial" w:hAnsi="Arial" w:cs="Arial"/>
          <w:sz w:val="24"/>
          <w:szCs w:val="24"/>
          <w:lang w:val="es-AR"/>
        </w:rPr>
        <w:t xml:space="preserve"> el principio de supremacía constitucional y el orden </w:t>
      </w:r>
      <w:r w:rsidR="00225C2B" w:rsidRPr="003522C1">
        <w:rPr>
          <w:rFonts w:ascii="Arial" w:hAnsi="Arial" w:cs="Arial"/>
          <w:sz w:val="24"/>
          <w:szCs w:val="24"/>
          <w:lang w:val="es-AR"/>
        </w:rPr>
        <w:t>jerárquico</w:t>
      </w:r>
      <w:r w:rsidR="0011065B" w:rsidRPr="003522C1">
        <w:rPr>
          <w:rFonts w:ascii="Arial" w:hAnsi="Arial" w:cs="Arial"/>
          <w:sz w:val="24"/>
          <w:szCs w:val="24"/>
          <w:lang w:val="es-AR"/>
        </w:rPr>
        <w:t xml:space="preserve"> del derecho positivo argentino, por el cual todo norma jurídica </w:t>
      </w:r>
      <w:proofErr w:type="gramStart"/>
      <w:r w:rsidR="0011065B" w:rsidRPr="003522C1">
        <w:rPr>
          <w:rFonts w:ascii="Arial" w:hAnsi="Arial" w:cs="Arial"/>
          <w:sz w:val="24"/>
          <w:szCs w:val="24"/>
          <w:lang w:val="es-AR"/>
        </w:rPr>
        <w:t>debe  estar</w:t>
      </w:r>
      <w:proofErr w:type="gramEnd"/>
      <w:r w:rsidR="0011065B" w:rsidRPr="003522C1">
        <w:rPr>
          <w:rFonts w:ascii="Arial" w:hAnsi="Arial" w:cs="Arial"/>
          <w:sz w:val="24"/>
          <w:szCs w:val="24"/>
          <w:lang w:val="es-AR"/>
        </w:rPr>
        <w:t xml:space="preserve"> de acuerdo con la </w:t>
      </w:r>
      <w:r w:rsidR="00225C2B" w:rsidRPr="003522C1">
        <w:rPr>
          <w:rFonts w:ascii="Arial" w:hAnsi="Arial" w:cs="Arial"/>
          <w:sz w:val="24"/>
          <w:szCs w:val="24"/>
          <w:lang w:val="es-AR"/>
        </w:rPr>
        <w:t>Constitución</w:t>
      </w:r>
      <w:r w:rsidR="0011065B" w:rsidRPr="003522C1">
        <w:rPr>
          <w:rFonts w:ascii="Arial" w:hAnsi="Arial" w:cs="Arial"/>
          <w:sz w:val="24"/>
          <w:szCs w:val="24"/>
          <w:lang w:val="es-AR"/>
        </w:rPr>
        <w:t xml:space="preserve"> y que su violación implica un vicio o defecto. El nacimiento del control de constitucionalidad obedeció a una </w:t>
      </w:r>
      <w:proofErr w:type="gramStart"/>
      <w:r w:rsidR="0011065B" w:rsidRPr="003522C1">
        <w:rPr>
          <w:rFonts w:ascii="Arial" w:hAnsi="Arial" w:cs="Arial"/>
          <w:sz w:val="24"/>
          <w:szCs w:val="24"/>
          <w:lang w:val="es-AR"/>
        </w:rPr>
        <w:t xml:space="preserve">creación  </w:t>
      </w:r>
      <w:r w:rsidR="00225C2B" w:rsidRPr="003522C1">
        <w:rPr>
          <w:rFonts w:ascii="Arial" w:hAnsi="Arial" w:cs="Arial"/>
          <w:sz w:val="24"/>
          <w:szCs w:val="24"/>
          <w:lang w:val="es-AR"/>
        </w:rPr>
        <w:t>jurisprudencial</w:t>
      </w:r>
      <w:proofErr w:type="gramEnd"/>
      <w:r w:rsidR="0011065B" w:rsidRPr="003522C1">
        <w:rPr>
          <w:rFonts w:ascii="Arial" w:hAnsi="Arial" w:cs="Arial"/>
          <w:sz w:val="24"/>
          <w:szCs w:val="24"/>
          <w:lang w:val="es-AR"/>
        </w:rPr>
        <w:t xml:space="preserve"> en los recordados casos “Sojo” (1887) y “Elortondo” (1888)</w:t>
      </w:r>
      <w:r w:rsidR="00225C2B" w:rsidRPr="003522C1">
        <w:rPr>
          <w:rFonts w:ascii="Arial" w:hAnsi="Arial" w:cs="Arial"/>
          <w:sz w:val="24"/>
          <w:szCs w:val="24"/>
          <w:lang w:val="es-AR"/>
        </w:rPr>
        <w:t xml:space="preserve">. Conforme el art.116 de la Constitución Nacional, por el cual el poder judicial de la Nación debe conocer y decidir “todas las causas que versen sobre puntos regidos por la Constitución”, siendo esta suprema </w:t>
      </w:r>
      <w:r w:rsidR="00EA2CFF" w:rsidRPr="003522C1">
        <w:rPr>
          <w:rFonts w:ascii="Arial" w:hAnsi="Arial" w:cs="Arial"/>
          <w:sz w:val="24"/>
          <w:szCs w:val="24"/>
          <w:lang w:val="es-AR"/>
        </w:rPr>
        <w:t>(art.31</w:t>
      </w:r>
      <w:r w:rsidR="00225C2B" w:rsidRPr="003522C1">
        <w:rPr>
          <w:rFonts w:ascii="Arial" w:hAnsi="Arial" w:cs="Arial"/>
          <w:sz w:val="24"/>
          <w:szCs w:val="24"/>
          <w:lang w:val="es-AR"/>
        </w:rPr>
        <w:t>) puede entenderse que el Poder Judicial está obligado a inaplicar las normas contrarias a ella.</w:t>
      </w:r>
      <w:r w:rsidRPr="003522C1">
        <w:rPr>
          <w:rFonts w:ascii="Arial" w:hAnsi="Arial" w:cs="Arial"/>
          <w:sz w:val="24"/>
          <w:szCs w:val="24"/>
          <w:vertAlign w:val="subscript"/>
          <w:lang w:val="es-AR"/>
        </w:rPr>
        <w:t>6</w:t>
      </w:r>
      <w:r w:rsidR="0005307B" w:rsidRPr="003522C1">
        <w:rPr>
          <w:rFonts w:ascii="Arial" w:hAnsi="Arial" w:cs="Arial"/>
          <w:sz w:val="24"/>
          <w:szCs w:val="24"/>
          <w:vertAlign w:val="subscript"/>
          <w:lang w:val="es-AR"/>
        </w:rPr>
        <w:t>.</w:t>
      </w:r>
      <w:r w:rsidR="007351E2" w:rsidRPr="003522C1">
        <w:rPr>
          <w:rFonts w:ascii="Arial" w:hAnsi="Arial" w:cs="Arial"/>
          <w:sz w:val="24"/>
          <w:szCs w:val="24"/>
          <w:lang w:val="es-AR"/>
        </w:rPr>
        <w:t xml:space="preserve"> </w:t>
      </w:r>
    </w:p>
    <w:p w:rsidR="006F435E" w:rsidRDefault="00230729" w:rsidP="00910107">
      <w:pPr>
        <w:pStyle w:val="Prrafodelista"/>
        <w:spacing w:line="360" w:lineRule="auto"/>
        <w:ind w:left="0"/>
        <w:jc w:val="both"/>
        <w:rPr>
          <w:rFonts w:ascii="Arial" w:hAnsi="Arial" w:cs="Arial"/>
          <w:sz w:val="24"/>
          <w:szCs w:val="24"/>
          <w:lang w:val="es-AR"/>
        </w:rPr>
      </w:pPr>
      <w:r w:rsidRPr="003522C1">
        <w:rPr>
          <w:rFonts w:ascii="Arial" w:hAnsi="Arial" w:cs="Arial"/>
          <w:sz w:val="24"/>
          <w:szCs w:val="24"/>
          <w:lang w:val="es-AR"/>
        </w:rPr>
        <w:t>En la República Argentina, existe el control difuso</w:t>
      </w:r>
      <w:r w:rsidR="0011065B" w:rsidRPr="003522C1">
        <w:rPr>
          <w:rFonts w:ascii="Arial" w:hAnsi="Arial" w:cs="Arial"/>
          <w:sz w:val="24"/>
          <w:szCs w:val="24"/>
          <w:lang w:val="es-AR"/>
        </w:rPr>
        <w:t xml:space="preserve"> y judicial</w:t>
      </w:r>
      <w:r w:rsidRPr="003522C1">
        <w:rPr>
          <w:rFonts w:ascii="Arial" w:hAnsi="Arial" w:cs="Arial"/>
          <w:sz w:val="24"/>
          <w:szCs w:val="24"/>
          <w:lang w:val="es-AR"/>
        </w:rPr>
        <w:t xml:space="preserve"> de constitucionalidad, lo que significa que cualquier </w:t>
      </w:r>
      <w:proofErr w:type="gramStart"/>
      <w:r w:rsidRPr="003522C1">
        <w:rPr>
          <w:rFonts w:ascii="Arial" w:hAnsi="Arial" w:cs="Arial"/>
          <w:sz w:val="24"/>
          <w:szCs w:val="24"/>
          <w:lang w:val="es-AR"/>
        </w:rPr>
        <w:t xml:space="preserve">Juez </w:t>
      </w:r>
      <w:r w:rsidR="00861108" w:rsidRPr="003522C1">
        <w:rPr>
          <w:rFonts w:ascii="Arial" w:hAnsi="Arial" w:cs="Arial"/>
          <w:sz w:val="24"/>
          <w:szCs w:val="24"/>
          <w:lang w:val="es-AR"/>
        </w:rPr>
        <w:t xml:space="preserve"> nacional</w:t>
      </w:r>
      <w:proofErr w:type="gramEnd"/>
      <w:r w:rsidR="00861108" w:rsidRPr="003522C1">
        <w:rPr>
          <w:rFonts w:ascii="Arial" w:hAnsi="Arial" w:cs="Arial"/>
          <w:sz w:val="24"/>
          <w:szCs w:val="24"/>
          <w:lang w:val="es-AR"/>
        </w:rPr>
        <w:t xml:space="preserve"> o provincial</w:t>
      </w:r>
      <w:r w:rsidR="0011065B" w:rsidRPr="003522C1">
        <w:rPr>
          <w:rFonts w:ascii="Arial" w:hAnsi="Arial" w:cs="Arial"/>
          <w:sz w:val="24"/>
          <w:szCs w:val="24"/>
          <w:lang w:val="es-AR"/>
        </w:rPr>
        <w:t xml:space="preserve"> de cualquier jurisdicción y competencia,</w:t>
      </w:r>
      <w:r w:rsidR="00861108" w:rsidRPr="003522C1">
        <w:rPr>
          <w:rFonts w:ascii="Arial" w:hAnsi="Arial" w:cs="Arial"/>
          <w:sz w:val="24"/>
          <w:szCs w:val="24"/>
          <w:lang w:val="es-AR"/>
        </w:rPr>
        <w:t xml:space="preserve"> </w:t>
      </w:r>
      <w:r w:rsidRPr="003522C1">
        <w:rPr>
          <w:rFonts w:ascii="Arial" w:hAnsi="Arial" w:cs="Arial"/>
          <w:sz w:val="24"/>
          <w:szCs w:val="24"/>
          <w:lang w:val="es-AR"/>
        </w:rPr>
        <w:t>puede declarar la inconstitucionalidad de una norma, ley o decreto,</w:t>
      </w:r>
      <w:r w:rsidR="008A12C2" w:rsidRPr="003522C1">
        <w:rPr>
          <w:rFonts w:ascii="Arial" w:hAnsi="Arial" w:cs="Arial"/>
          <w:sz w:val="24"/>
          <w:szCs w:val="24"/>
          <w:lang w:val="es-AR"/>
        </w:rPr>
        <w:t xml:space="preserve"> que sea contraria a la Constitución Nacional o provin</w:t>
      </w:r>
      <w:r w:rsidR="006F435E">
        <w:rPr>
          <w:rFonts w:ascii="Arial" w:hAnsi="Arial" w:cs="Arial"/>
          <w:sz w:val="24"/>
          <w:szCs w:val="24"/>
          <w:lang w:val="es-AR"/>
        </w:rPr>
        <w:t>cial.</w:t>
      </w:r>
      <w:r w:rsidR="006F435E" w:rsidRPr="006F435E">
        <w:rPr>
          <w:rFonts w:ascii="Arial" w:hAnsi="Arial" w:cs="Arial"/>
          <w:sz w:val="24"/>
          <w:szCs w:val="24"/>
          <w:lang w:val="es-AR"/>
        </w:rPr>
        <w:t xml:space="preserve"> </w:t>
      </w:r>
      <w:r w:rsidR="006F435E">
        <w:rPr>
          <w:rFonts w:ascii="Arial" w:hAnsi="Arial" w:cs="Arial"/>
          <w:sz w:val="24"/>
          <w:szCs w:val="24"/>
          <w:lang w:val="es-AR"/>
        </w:rPr>
        <w:t>L</w:t>
      </w:r>
      <w:r w:rsidR="006F435E" w:rsidRPr="003522C1">
        <w:rPr>
          <w:rFonts w:ascii="Arial" w:hAnsi="Arial" w:cs="Arial"/>
          <w:sz w:val="24"/>
          <w:szCs w:val="24"/>
          <w:lang w:val="es-AR"/>
        </w:rPr>
        <w:t xml:space="preserve">a </w:t>
      </w:r>
      <w:proofErr w:type="gramStart"/>
      <w:r w:rsidR="006F435E" w:rsidRPr="003522C1">
        <w:rPr>
          <w:rFonts w:ascii="Arial" w:hAnsi="Arial" w:cs="Arial"/>
          <w:sz w:val="24"/>
          <w:szCs w:val="24"/>
          <w:lang w:val="es-AR"/>
        </w:rPr>
        <w:t xml:space="preserve">CSJN </w:t>
      </w:r>
      <w:r w:rsidR="006F435E">
        <w:rPr>
          <w:rFonts w:ascii="Arial" w:hAnsi="Arial" w:cs="Arial"/>
          <w:sz w:val="24"/>
          <w:szCs w:val="24"/>
          <w:lang w:val="es-AR"/>
        </w:rPr>
        <w:t xml:space="preserve"> es</w:t>
      </w:r>
      <w:proofErr w:type="gramEnd"/>
      <w:r w:rsidR="006F435E">
        <w:rPr>
          <w:rFonts w:ascii="Arial" w:hAnsi="Arial" w:cs="Arial"/>
          <w:sz w:val="24"/>
          <w:szCs w:val="24"/>
          <w:lang w:val="es-AR"/>
        </w:rPr>
        <w:t xml:space="preserve"> </w:t>
      </w:r>
      <w:r w:rsidR="006F435E" w:rsidRPr="003522C1">
        <w:rPr>
          <w:rFonts w:ascii="Arial" w:hAnsi="Arial" w:cs="Arial"/>
          <w:sz w:val="24"/>
          <w:szCs w:val="24"/>
          <w:lang w:val="es-AR"/>
        </w:rPr>
        <w:t xml:space="preserve">el intérprete final de la </w:t>
      </w:r>
      <w:r w:rsidR="006F435E">
        <w:rPr>
          <w:rFonts w:ascii="Arial" w:hAnsi="Arial" w:cs="Arial"/>
          <w:sz w:val="24"/>
          <w:szCs w:val="24"/>
          <w:lang w:val="es-AR"/>
        </w:rPr>
        <w:t xml:space="preserve">Constitución conforme la jurisprudencia pacífica de sus fallos 315:2386. </w:t>
      </w:r>
    </w:p>
    <w:p w:rsidR="006F435E" w:rsidRDefault="00230729" w:rsidP="00910107">
      <w:pPr>
        <w:pStyle w:val="Prrafodelista"/>
        <w:spacing w:line="360" w:lineRule="auto"/>
        <w:ind w:left="0"/>
        <w:jc w:val="both"/>
        <w:rPr>
          <w:rFonts w:ascii="Arial" w:hAnsi="Arial" w:cs="Arial"/>
          <w:sz w:val="24"/>
          <w:szCs w:val="24"/>
          <w:lang w:val="es-AR"/>
        </w:rPr>
      </w:pPr>
      <w:r w:rsidRPr="003522C1">
        <w:rPr>
          <w:rFonts w:ascii="Arial" w:hAnsi="Arial" w:cs="Arial"/>
          <w:sz w:val="24"/>
          <w:szCs w:val="24"/>
          <w:lang w:val="es-AR"/>
        </w:rPr>
        <w:t xml:space="preserve"> </w:t>
      </w:r>
      <w:r w:rsidR="006F435E">
        <w:rPr>
          <w:rFonts w:ascii="Arial" w:hAnsi="Arial" w:cs="Arial"/>
          <w:sz w:val="24"/>
          <w:szCs w:val="24"/>
          <w:lang w:val="es-AR"/>
        </w:rPr>
        <w:t>A</w:t>
      </w:r>
      <w:r w:rsidR="00B33CA0">
        <w:rPr>
          <w:rFonts w:ascii="Arial" w:hAnsi="Arial" w:cs="Arial"/>
          <w:sz w:val="24"/>
          <w:szCs w:val="24"/>
          <w:lang w:val="es-AR"/>
        </w:rPr>
        <w:t>lgunas</w:t>
      </w:r>
      <w:r w:rsidR="00B33CA0" w:rsidRPr="003522C1">
        <w:rPr>
          <w:rFonts w:ascii="Arial" w:hAnsi="Arial" w:cs="Arial"/>
          <w:sz w:val="24"/>
          <w:szCs w:val="24"/>
          <w:lang w:val="es-AR"/>
        </w:rPr>
        <w:t xml:space="preserve"> provincias</w:t>
      </w:r>
      <w:r w:rsidR="006F435E">
        <w:rPr>
          <w:rFonts w:ascii="Arial" w:hAnsi="Arial" w:cs="Arial"/>
          <w:sz w:val="24"/>
          <w:szCs w:val="24"/>
          <w:lang w:val="es-AR"/>
        </w:rPr>
        <w:t xml:space="preserve"> argentinas prevén en sus Constituciones en </w:t>
      </w:r>
      <w:proofErr w:type="gramStart"/>
      <w:r w:rsidR="006F435E">
        <w:rPr>
          <w:rFonts w:ascii="Arial" w:hAnsi="Arial" w:cs="Arial"/>
          <w:sz w:val="24"/>
          <w:szCs w:val="24"/>
          <w:lang w:val="es-AR"/>
        </w:rPr>
        <w:t>forma  expresa</w:t>
      </w:r>
      <w:proofErr w:type="gramEnd"/>
      <w:r w:rsidR="00B33CA0" w:rsidRPr="003522C1">
        <w:rPr>
          <w:rFonts w:ascii="Arial" w:hAnsi="Arial" w:cs="Arial"/>
          <w:sz w:val="24"/>
          <w:szCs w:val="24"/>
          <w:lang w:val="es-AR"/>
        </w:rPr>
        <w:t xml:space="preserve"> </w:t>
      </w:r>
      <w:r w:rsidR="00B33CA0">
        <w:rPr>
          <w:rFonts w:ascii="Arial" w:hAnsi="Arial" w:cs="Arial"/>
          <w:sz w:val="24"/>
          <w:szCs w:val="24"/>
          <w:lang w:val="es-AR"/>
        </w:rPr>
        <w:t xml:space="preserve">el deber </w:t>
      </w:r>
      <w:r w:rsidR="00B33CA0" w:rsidRPr="003522C1">
        <w:rPr>
          <w:rFonts w:ascii="Arial" w:hAnsi="Arial" w:cs="Arial"/>
          <w:sz w:val="24"/>
          <w:szCs w:val="24"/>
          <w:lang w:val="es-AR"/>
        </w:rPr>
        <w:t>que tienen los jueces de declarar la in</w:t>
      </w:r>
      <w:r w:rsidR="00B33CA0">
        <w:rPr>
          <w:rFonts w:ascii="Arial" w:hAnsi="Arial" w:cs="Arial"/>
          <w:sz w:val="24"/>
          <w:szCs w:val="24"/>
          <w:lang w:val="es-AR"/>
        </w:rPr>
        <w:t>constitucionalidad de una norma, por ejemplo</w:t>
      </w:r>
      <w:r w:rsidR="00B33CA0" w:rsidRPr="003522C1">
        <w:rPr>
          <w:rFonts w:ascii="Arial" w:hAnsi="Arial" w:cs="Arial"/>
          <w:sz w:val="24"/>
          <w:szCs w:val="24"/>
          <w:lang w:val="es-AR"/>
        </w:rPr>
        <w:t xml:space="preserve"> el art. 10 de la Constitución de la Provincia de San Luis</w:t>
      </w:r>
      <w:r w:rsidR="006F435E">
        <w:rPr>
          <w:rFonts w:ascii="Arial" w:hAnsi="Arial" w:cs="Arial"/>
          <w:sz w:val="24"/>
          <w:szCs w:val="24"/>
          <w:lang w:val="es-AR"/>
        </w:rPr>
        <w:t xml:space="preserve">. </w:t>
      </w:r>
    </w:p>
    <w:p w:rsidR="004E1AC4" w:rsidRPr="003522C1" w:rsidRDefault="00ED7983" w:rsidP="00910107">
      <w:pPr>
        <w:spacing w:line="360" w:lineRule="auto"/>
        <w:contextualSpacing/>
        <w:jc w:val="both"/>
        <w:rPr>
          <w:rFonts w:ascii="Arial" w:hAnsi="Arial" w:cs="Arial"/>
          <w:b/>
          <w:sz w:val="24"/>
          <w:szCs w:val="24"/>
          <w:lang w:val="es-AR"/>
        </w:rPr>
      </w:pPr>
      <w:proofErr w:type="gramStart"/>
      <w:r w:rsidRPr="003522C1">
        <w:rPr>
          <w:rFonts w:ascii="Arial" w:hAnsi="Arial" w:cs="Arial"/>
          <w:b/>
          <w:sz w:val="24"/>
          <w:szCs w:val="24"/>
          <w:lang w:val="es-AR"/>
        </w:rPr>
        <w:lastRenderedPageBreak/>
        <w:t>d</w:t>
      </w:r>
      <w:r w:rsidR="004E1AC4" w:rsidRPr="003522C1">
        <w:rPr>
          <w:rFonts w:ascii="Arial" w:hAnsi="Arial" w:cs="Arial"/>
          <w:b/>
          <w:sz w:val="24"/>
          <w:szCs w:val="24"/>
          <w:lang w:val="es-AR"/>
        </w:rPr>
        <w:t>)</w:t>
      </w:r>
      <w:r w:rsidR="00225C2B" w:rsidRPr="003522C1">
        <w:rPr>
          <w:rFonts w:ascii="Arial" w:hAnsi="Arial" w:cs="Arial"/>
          <w:b/>
          <w:sz w:val="24"/>
          <w:szCs w:val="24"/>
          <w:lang w:val="es-AR"/>
        </w:rPr>
        <w:t>.-</w:t>
      </w:r>
      <w:proofErr w:type="gramEnd"/>
      <w:r w:rsidR="008C3588" w:rsidRPr="003522C1">
        <w:rPr>
          <w:rFonts w:ascii="Arial" w:hAnsi="Arial" w:cs="Arial"/>
          <w:b/>
          <w:sz w:val="24"/>
          <w:szCs w:val="24"/>
          <w:lang w:val="es-AR"/>
        </w:rPr>
        <w:t>Una propuesta</w:t>
      </w:r>
      <w:r w:rsidR="004E1AC4" w:rsidRPr="003522C1">
        <w:rPr>
          <w:rFonts w:ascii="Arial" w:hAnsi="Arial" w:cs="Arial"/>
          <w:b/>
          <w:sz w:val="24"/>
          <w:szCs w:val="24"/>
          <w:lang w:val="es-AR"/>
        </w:rPr>
        <w:t xml:space="preserve"> conciliadora para superar el conflicto entre interpretes finales </w:t>
      </w:r>
      <w:r w:rsidR="0005307B" w:rsidRPr="003522C1">
        <w:rPr>
          <w:rFonts w:ascii="Arial" w:hAnsi="Arial" w:cs="Arial"/>
          <w:b/>
          <w:sz w:val="24"/>
          <w:szCs w:val="24"/>
          <w:lang w:val="es-AR"/>
        </w:rPr>
        <w:t xml:space="preserve"> “El</w:t>
      </w:r>
      <w:r w:rsidR="00101D9B">
        <w:rPr>
          <w:rFonts w:ascii="Arial" w:hAnsi="Arial" w:cs="Arial"/>
          <w:b/>
          <w:sz w:val="24"/>
          <w:szCs w:val="24"/>
          <w:lang w:val="es-AR"/>
        </w:rPr>
        <w:t xml:space="preserve"> diá</w:t>
      </w:r>
      <w:r w:rsidR="004E1AC4" w:rsidRPr="003522C1">
        <w:rPr>
          <w:rFonts w:ascii="Arial" w:hAnsi="Arial" w:cs="Arial"/>
          <w:b/>
          <w:sz w:val="24"/>
          <w:szCs w:val="24"/>
          <w:lang w:val="es-AR"/>
        </w:rPr>
        <w:t>logo interjurisdiccional”.</w:t>
      </w:r>
    </w:p>
    <w:p w:rsidR="0005307B" w:rsidRPr="003522C1" w:rsidRDefault="006665D6" w:rsidP="00910107">
      <w:pPr>
        <w:autoSpaceDE w:val="0"/>
        <w:autoSpaceDN w:val="0"/>
        <w:adjustRightInd w:val="0"/>
        <w:spacing w:after="0" w:line="360" w:lineRule="auto"/>
        <w:jc w:val="both"/>
        <w:rPr>
          <w:rFonts w:ascii="Arial" w:hAnsi="Arial" w:cs="Arial"/>
          <w:b/>
          <w:sz w:val="24"/>
          <w:szCs w:val="24"/>
          <w:lang w:val="es-AR"/>
        </w:rPr>
      </w:pPr>
      <w:proofErr w:type="spellStart"/>
      <w:r w:rsidRPr="003522C1">
        <w:rPr>
          <w:rFonts w:ascii="Arial" w:hAnsi="Arial" w:cs="Arial"/>
          <w:sz w:val="24"/>
          <w:szCs w:val="24"/>
          <w:lang w:val="es-AR"/>
        </w:rPr>
        <w:t>Calogero</w:t>
      </w:r>
      <w:proofErr w:type="spellEnd"/>
      <w:r w:rsidRPr="003522C1">
        <w:rPr>
          <w:rFonts w:ascii="Arial" w:hAnsi="Arial" w:cs="Arial"/>
          <w:sz w:val="24"/>
          <w:szCs w:val="24"/>
          <w:lang w:val="es-AR"/>
        </w:rPr>
        <w:t xml:space="preserve"> </w:t>
      </w:r>
      <w:proofErr w:type="spellStart"/>
      <w:r w:rsidRPr="003522C1">
        <w:rPr>
          <w:rFonts w:ascii="Arial" w:hAnsi="Arial" w:cs="Arial"/>
          <w:sz w:val="24"/>
          <w:szCs w:val="24"/>
          <w:lang w:val="es-AR"/>
        </w:rPr>
        <w:t>Pizzolo</w:t>
      </w:r>
      <w:proofErr w:type="spellEnd"/>
      <w:r w:rsidRPr="003522C1">
        <w:rPr>
          <w:rFonts w:ascii="Arial" w:hAnsi="Arial" w:cs="Arial"/>
          <w:sz w:val="24"/>
          <w:szCs w:val="24"/>
          <w:lang w:val="es-AR"/>
        </w:rPr>
        <w:t xml:space="preserve"> manifiesta que detrás del pluralismo constitucional, aparece el </w:t>
      </w:r>
      <w:r w:rsidRPr="003522C1">
        <w:rPr>
          <w:rFonts w:ascii="Arial" w:hAnsi="Arial" w:cs="Arial"/>
          <w:iCs/>
          <w:sz w:val="24"/>
          <w:szCs w:val="24"/>
          <w:lang w:val="es-AR"/>
        </w:rPr>
        <w:t xml:space="preserve">problema de las normas interconectadas a una comunidad de intérpretes </w:t>
      </w:r>
      <w:proofErr w:type="gramStart"/>
      <w:r w:rsidRPr="003522C1">
        <w:rPr>
          <w:rFonts w:ascii="Arial" w:hAnsi="Arial" w:cs="Arial"/>
          <w:iCs/>
          <w:sz w:val="24"/>
          <w:szCs w:val="24"/>
          <w:lang w:val="es-AR"/>
        </w:rPr>
        <w:t>finales</w:t>
      </w:r>
      <w:r w:rsidRPr="003522C1">
        <w:rPr>
          <w:rFonts w:ascii="Arial" w:hAnsi="Arial" w:cs="Arial"/>
          <w:sz w:val="24"/>
          <w:szCs w:val="24"/>
          <w:lang w:val="es-AR"/>
        </w:rPr>
        <w:t>,  que</w:t>
      </w:r>
      <w:proofErr w:type="gramEnd"/>
      <w:r w:rsidRPr="003522C1">
        <w:rPr>
          <w:rFonts w:ascii="Arial" w:hAnsi="Arial" w:cs="Arial"/>
          <w:sz w:val="24"/>
          <w:szCs w:val="24"/>
          <w:lang w:val="es-AR"/>
        </w:rPr>
        <w:t xml:space="preserve"> reclaman para sí el derecho a la última palabra. Los miembros de esta comunidad </w:t>
      </w:r>
      <w:r w:rsidRPr="003522C1">
        <w:rPr>
          <w:rFonts w:ascii="Arial" w:hAnsi="Arial" w:cs="Arial"/>
          <w:iCs/>
          <w:sz w:val="24"/>
          <w:szCs w:val="24"/>
          <w:lang w:val="es-AR"/>
        </w:rPr>
        <w:t>debieran</w:t>
      </w:r>
      <w:r w:rsidRPr="003522C1">
        <w:rPr>
          <w:rFonts w:ascii="Arial" w:hAnsi="Arial" w:cs="Arial"/>
          <w:sz w:val="24"/>
          <w:szCs w:val="24"/>
          <w:lang w:val="es-AR"/>
        </w:rPr>
        <w:t xml:space="preserve">, pues, mediante el diálogo interjurisdiccional, establecer coincidencias que torne pacífica la </w:t>
      </w:r>
      <w:r w:rsidRPr="003522C1">
        <w:rPr>
          <w:rFonts w:ascii="Arial" w:hAnsi="Arial" w:cs="Arial"/>
          <w:iCs/>
          <w:sz w:val="24"/>
          <w:szCs w:val="24"/>
          <w:lang w:val="es-AR"/>
        </w:rPr>
        <w:t xml:space="preserve">cohabitación normativa </w:t>
      </w:r>
      <w:r w:rsidRPr="003522C1">
        <w:rPr>
          <w:rFonts w:ascii="Arial" w:hAnsi="Arial" w:cs="Arial"/>
          <w:sz w:val="24"/>
          <w:szCs w:val="24"/>
          <w:lang w:val="es-AR"/>
        </w:rPr>
        <w:t xml:space="preserve">en un espacio común. Expresa que </w:t>
      </w:r>
      <w:proofErr w:type="spellStart"/>
      <w:r w:rsidRPr="003522C1">
        <w:rPr>
          <w:rFonts w:ascii="Arial" w:hAnsi="Arial" w:cs="Arial"/>
          <w:sz w:val="24"/>
          <w:szCs w:val="24"/>
          <w:lang w:val="es-AR"/>
        </w:rPr>
        <w:t>Jacqué</w:t>
      </w:r>
      <w:proofErr w:type="spellEnd"/>
      <w:r w:rsidRPr="003522C1">
        <w:rPr>
          <w:rFonts w:ascii="Arial" w:hAnsi="Arial" w:cs="Arial"/>
          <w:sz w:val="24"/>
          <w:szCs w:val="24"/>
          <w:lang w:val="es-AR"/>
        </w:rPr>
        <w:t xml:space="preserve"> insiste en que la visión fundada en la ordenación jerárquica que propone la pirámide de Kelsen, no permite explicar la realidad actual: si el análisis clásico conserva cierta utilidad en el estudio de la relación entre normas hacia el interior de un mismo orden jurídico, afirma, aquél cede al momento de intentar explicar las relaciones complejas entre ordenamientos jurídicos. Explica </w:t>
      </w:r>
      <w:proofErr w:type="gramStart"/>
      <w:r w:rsidRPr="003522C1">
        <w:rPr>
          <w:rFonts w:ascii="Arial" w:hAnsi="Arial" w:cs="Arial"/>
          <w:sz w:val="24"/>
          <w:szCs w:val="24"/>
          <w:lang w:val="es-AR"/>
        </w:rPr>
        <w:t>que</w:t>
      </w:r>
      <w:proofErr w:type="gramEnd"/>
      <w:r w:rsidRPr="003522C1">
        <w:rPr>
          <w:rFonts w:ascii="Arial" w:hAnsi="Arial" w:cs="Arial"/>
          <w:sz w:val="24"/>
          <w:szCs w:val="24"/>
          <w:lang w:val="es-AR"/>
        </w:rPr>
        <w:t xml:space="preserve"> en este contexto de pluralismo constitucional, la pirámide como figura explicativa de la geometría jurídica, deja su lugar a una especie de </w:t>
      </w:r>
      <w:r w:rsidRPr="003522C1">
        <w:rPr>
          <w:rFonts w:ascii="Arial" w:hAnsi="Arial" w:cs="Arial"/>
          <w:iCs/>
          <w:sz w:val="24"/>
          <w:szCs w:val="24"/>
          <w:lang w:val="es-AR"/>
        </w:rPr>
        <w:t xml:space="preserve">trapecio </w:t>
      </w:r>
      <w:r w:rsidRPr="003522C1">
        <w:rPr>
          <w:rFonts w:ascii="Arial" w:hAnsi="Arial" w:cs="Arial"/>
          <w:sz w:val="24"/>
          <w:szCs w:val="24"/>
          <w:lang w:val="es-AR"/>
        </w:rPr>
        <w:t xml:space="preserve">al aplanarse su vértice superior donde ahora se detecta un pluralismo de ordenamientos superiores. Las normas interconectadas son, por tanto, producto del ejercicio de competencias </w:t>
      </w:r>
      <w:r w:rsidRPr="003522C1">
        <w:rPr>
          <w:rFonts w:ascii="Arial" w:hAnsi="Arial" w:cs="Arial"/>
          <w:iCs/>
          <w:sz w:val="24"/>
          <w:szCs w:val="24"/>
          <w:lang w:val="es-AR"/>
        </w:rPr>
        <w:t xml:space="preserve">horizontales </w:t>
      </w:r>
      <w:r w:rsidRPr="003522C1">
        <w:rPr>
          <w:rFonts w:ascii="Arial" w:hAnsi="Arial" w:cs="Arial"/>
          <w:sz w:val="24"/>
          <w:szCs w:val="24"/>
          <w:lang w:val="es-AR"/>
        </w:rPr>
        <w:t xml:space="preserve">o </w:t>
      </w:r>
      <w:r w:rsidRPr="003522C1">
        <w:rPr>
          <w:rFonts w:ascii="Arial" w:hAnsi="Arial" w:cs="Arial"/>
          <w:iCs/>
          <w:sz w:val="24"/>
          <w:szCs w:val="24"/>
          <w:lang w:val="es-AR"/>
        </w:rPr>
        <w:t>transversales</w:t>
      </w:r>
      <w:r w:rsidRPr="003522C1">
        <w:rPr>
          <w:rFonts w:ascii="Arial" w:hAnsi="Arial" w:cs="Arial"/>
          <w:sz w:val="24"/>
          <w:szCs w:val="24"/>
          <w:lang w:val="es-AR"/>
        </w:rPr>
        <w:t xml:space="preserve">. Cada regulación constituye un elemento normativo interconectado por una materia </w:t>
      </w:r>
      <w:proofErr w:type="gramStart"/>
      <w:r w:rsidRPr="003522C1">
        <w:rPr>
          <w:rFonts w:ascii="Arial" w:hAnsi="Arial" w:cs="Arial"/>
          <w:sz w:val="24"/>
          <w:szCs w:val="24"/>
          <w:lang w:val="es-AR"/>
        </w:rPr>
        <w:t>común</w:t>
      </w:r>
      <w:proofErr w:type="gramEnd"/>
      <w:r w:rsidRPr="003522C1">
        <w:rPr>
          <w:rFonts w:ascii="Arial" w:hAnsi="Arial" w:cs="Arial"/>
          <w:sz w:val="24"/>
          <w:szCs w:val="24"/>
          <w:lang w:val="es-AR"/>
        </w:rPr>
        <w:t xml:space="preserve"> pero, además, por un ámbito territorial común de aplicación. En otras palabras, las normas interconectadas señalan la existencia de una </w:t>
      </w:r>
      <w:r w:rsidRPr="003522C1">
        <w:rPr>
          <w:rFonts w:ascii="Arial" w:hAnsi="Arial" w:cs="Arial"/>
          <w:iCs/>
          <w:sz w:val="24"/>
          <w:szCs w:val="24"/>
          <w:lang w:val="es-AR"/>
        </w:rPr>
        <w:t xml:space="preserve">protección multinivel </w:t>
      </w:r>
      <w:r w:rsidRPr="003522C1">
        <w:rPr>
          <w:rFonts w:ascii="Arial" w:hAnsi="Arial" w:cs="Arial"/>
          <w:sz w:val="24"/>
          <w:szCs w:val="24"/>
          <w:lang w:val="es-AR"/>
        </w:rPr>
        <w:t xml:space="preserve">o </w:t>
      </w:r>
      <w:r w:rsidRPr="003522C1">
        <w:rPr>
          <w:rFonts w:ascii="Arial" w:hAnsi="Arial" w:cs="Arial"/>
          <w:iCs/>
          <w:sz w:val="24"/>
          <w:szCs w:val="24"/>
          <w:lang w:val="es-AR"/>
        </w:rPr>
        <w:t>por niveles</w:t>
      </w:r>
      <w:r w:rsidRPr="003522C1">
        <w:rPr>
          <w:rFonts w:ascii="Arial" w:hAnsi="Arial" w:cs="Arial"/>
          <w:sz w:val="24"/>
          <w:szCs w:val="24"/>
          <w:lang w:val="es-AR"/>
        </w:rPr>
        <w:t xml:space="preserve">, en este caso –por </w:t>
      </w:r>
      <w:proofErr w:type="gramStart"/>
      <w:r w:rsidRPr="003522C1">
        <w:rPr>
          <w:rFonts w:ascii="Arial" w:hAnsi="Arial" w:cs="Arial"/>
          <w:sz w:val="24"/>
          <w:szCs w:val="24"/>
          <w:lang w:val="es-AR"/>
        </w:rPr>
        <w:t>cierto</w:t>
      </w:r>
      <w:proofErr w:type="gramEnd"/>
      <w:r w:rsidRPr="003522C1">
        <w:rPr>
          <w:rFonts w:ascii="Arial" w:hAnsi="Arial" w:cs="Arial"/>
          <w:sz w:val="24"/>
          <w:szCs w:val="24"/>
          <w:lang w:val="es-AR"/>
        </w:rPr>
        <w:t xml:space="preserve"> el más emblemático de los derechos humanos. En ello esencialmente consiste el pluralismo jurídico. Los distintos ordenamientos jurídicos </w:t>
      </w:r>
      <w:r w:rsidRPr="003522C1">
        <w:rPr>
          <w:rFonts w:ascii="Arial" w:hAnsi="Arial" w:cs="Arial"/>
          <w:iCs/>
          <w:sz w:val="24"/>
          <w:szCs w:val="24"/>
          <w:lang w:val="es-AR"/>
        </w:rPr>
        <w:t>se relacionan sin establecer entre ellos relaciones de jerarquía</w:t>
      </w:r>
      <w:r w:rsidRPr="003522C1">
        <w:rPr>
          <w:rFonts w:ascii="Arial" w:hAnsi="Arial" w:cs="Arial"/>
          <w:sz w:val="24"/>
          <w:szCs w:val="24"/>
          <w:lang w:val="es-AR"/>
        </w:rPr>
        <w:t xml:space="preserve">. Existirán tantas instancias como ordenamientos constitucionales estén siendo aplicados simultáneamente. No hay ya, por tanto, “una clara unidad de interpretación, sino tantas unidades de </w:t>
      </w:r>
      <w:r w:rsidRPr="003522C1">
        <w:rPr>
          <w:rFonts w:ascii="Arial" w:hAnsi="Arial" w:cs="Arial"/>
          <w:sz w:val="24"/>
          <w:szCs w:val="24"/>
          <w:lang w:val="es-AR"/>
        </w:rPr>
        <w:lastRenderedPageBreak/>
        <w:t>interpretación como ordenamientos constitucionales componentes de ese pluralismo reconozcamos”. En tales casos, existe un contexto de conflicto potencial entre distintos ordenamientos constitucionales que ha de resolverse de</w:t>
      </w:r>
      <w:r w:rsidRPr="003522C1">
        <w:rPr>
          <w:rFonts w:ascii="Arial" w:hAnsi="Arial" w:cs="Arial"/>
          <w:b/>
          <w:sz w:val="24"/>
          <w:szCs w:val="24"/>
          <w:lang w:val="es-AR"/>
        </w:rPr>
        <w:t xml:space="preserve"> </w:t>
      </w:r>
      <w:r w:rsidRPr="003522C1">
        <w:rPr>
          <w:rFonts w:ascii="Arial" w:hAnsi="Arial" w:cs="Arial"/>
          <w:sz w:val="24"/>
          <w:szCs w:val="24"/>
          <w:lang w:val="es-AR"/>
        </w:rPr>
        <w:t>manera no jerárquica.</w:t>
      </w:r>
      <w:r w:rsidR="006F435E">
        <w:rPr>
          <w:rFonts w:ascii="Arial" w:hAnsi="Arial" w:cs="Arial"/>
          <w:sz w:val="24"/>
          <w:szCs w:val="24"/>
          <w:vertAlign w:val="subscript"/>
          <w:lang w:val="es-AR"/>
        </w:rPr>
        <w:t>8</w:t>
      </w:r>
      <w:r w:rsidRPr="003522C1">
        <w:rPr>
          <w:rFonts w:ascii="Arial" w:hAnsi="Arial" w:cs="Arial"/>
          <w:b/>
          <w:sz w:val="24"/>
          <w:szCs w:val="24"/>
          <w:lang w:val="es-AR"/>
        </w:rPr>
        <w:t xml:space="preserve"> </w:t>
      </w:r>
    </w:p>
    <w:p w:rsidR="00BE25A0" w:rsidRPr="003522C1" w:rsidRDefault="00BE25A0" w:rsidP="00910107">
      <w:pPr>
        <w:autoSpaceDE w:val="0"/>
        <w:autoSpaceDN w:val="0"/>
        <w:adjustRightInd w:val="0"/>
        <w:spacing w:after="0" w:line="360" w:lineRule="auto"/>
        <w:jc w:val="both"/>
        <w:rPr>
          <w:rFonts w:ascii="Arial" w:hAnsi="Arial" w:cs="Arial"/>
          <w:iCs/>
          <w:sz w:val="24"/>
          <w:szCs w:val="24"/>
          <w:lang w:val="es-AR"/>
        </w:rPr>
      </w:pPr>
      <w:r w:rsidRPr="003522C1">
        <w:rPr>
          <w:rFonts w:ascii="Arial" w:hAnsi="Arial" w:cs="Arial"/>
          <w:sz w:val="24"/>
          <w:szCs w:val="24"/>
          <w:lang w:val="es-AR"/>
        </w:rPr>
        <w:t>El mismo autor</w:t>
      </w:r>
      <w:r w:rsidRPr="003522C1">
        <w:rPr>
          <w:rFonts w:ascii="Arial" w:hAnsi="Arial" w:cs="Arial"/>
          <w:b/>
          <w:sz w:val="24"/>
          <w:szCs w:val="24"/>
          <w:lang w:val="es-AR"/>
        </w:rPr>
        <w:t xml:space="preserve">, </w:t>
      </w:r>
      <w:r w:rsidRPr="003522C1">
        <w:rPr>
          <w:rFonts w:ascii="Arial" w:hAnsi="Arial" w:cs="Arial"/>
          <w:sz w:val="24"/>
          <w:szCs w:val="24"/>
          <w:lang w:val="es-AR"/>
        </w:rPr>
        <w:t xml:space="preserve">esgrime que las normas interconectadas nos permiten detectar la existencia de una </w:t>
      </w:r>
      <w:r w:rsidRPr="003522C1">
        <w:rPr>
          <w:rFonts w:ascii="Arial" w:hAnsi="Arial" w:cs="Arial"/>
          <w:iCs/>
          <w:sz w:val="24"/>
          <w:szCs w:val="24"/>
          <w:lang w:val="es-AR"/>
        </w:rPr>
        <w:t xml:space="preserve">comunidad de intérpretes finales </w:t>
      </w:r>
      <w:r w:rsidR="00101D9B">
        <w:rPr>
          <w:rFonts w:ascii="Arial" w:hAnsi="Arial" w:cs="Arial"/>
          <w:sz w:val="24"/>
          <w:szCs w:val="24"/>
          <w:lang w:val="es-AR"/>
        </w:rPr>
        <w:t xml:space="preserve">y, por </w:t>
      </w:r>
      <w:proofErr w:type="gramStart"/>
      <w:r w:rsidR="00101D9B">
        <w:rPr>
          <w:rFonts w:ascii="Arial" w:hAnsi="Arial" w:cs="Arial"/>
          <w:sz w:val="24"/>
          <w:szCs w:val="24"/>
          <w:lang w:val="es-AR"/>
        </w:rPr>
        <w:t>tanto</w:t>
      </w:r>
      <w:proofErr w:type="gramEnd"/>
      <w:r w:rsidR="00101D9B">
        <w:rPr>
          <w:rFonts w:ascii="Arial" w:hAnsi="Arial" w:cs="Arial"/>
          <w:sz w:val="24"/>
          <w:szCs w:val="24"/>
          <w:lang w:val="es-AR"/>
        </w:rPr>
        <w:t xml:space="preserve"> </w:t>
      </w:r>
      <w:r w:rsidRPr="003522C1">
        <w:rPr>
          <w:rFonts w:ascii="Arial" w:hAnsi="Arial" w:cs="Arial"/>
          <w:sz w:val="24"/>
          <w:szCs w:val="24"/>
          <w:lang w:val="es-AR"/>
        </w:rPr>
        <w:t>un núcleo problemático. Cada elemento</w:t>
      </w:r>
      <w:r w:rsidRPr="003522C1">
        <w:rPr>
          <w:rFonts w:ascii="Arial" w:hAnsi="Arial" w:cs="Arial"/>
          <w:iCs/>
          <w:sz w:val="24"/>
          <w:szCs w:val="24"/>
          <w:lang w:val="es-AR"/>
        </w:rPr>
        <w:t xml:space="preserve"> </w:t>
      </w:r>
      <w:r w:rsidRPr="003522C1">
        <w:rPr>
          <w:rFonts w:ascii="Arial" w:hAnsi="Arial" w:cs="Arial"/>
          <w:sz w:val="24"/>
          <w:szCs w:val="24"/>
          <w:lang w:val="es-AR"/>
        </w:rPr>
        <w:t xml:space="preserve">normativo interconectado </w:t>
      </w:r>
      <w:r w:rsidRPr="003522C1">
        <w:rPr>
          <w:rFonts w:ascii="Arial" w:hAnsi="Arial" w:cs="Arial"/>
          <w:iCs/>
          <w:sz w:val="24"/>
          <w:szCs w:val="24"/>
          <w:lang w:val="es-AR"/>
        </w:rPr>
        <w:t xml:space="preserve">remite </w:t>
      </w:r>
      <w:r w:rsidRPr="003522C1">
        <w:rPr>
          <w:rFonts w:ascii="Arial" w:hAnsi="Arial" w:cs="Arial"/>
          <w:sz w:val="24"/>
          <w:szCs w:val="24"/>
          <w:lang w:val="es-AR"/>
        </w:rPr>
        <w:t xml:space="preserve">a un intérprete que reclama </w:t>
      </w:r>
      <w:r w:rsidRPr="003522C1">
        <w:rPr>
          <w:rFonts w:ascii="Arial" w:hAnsi="Arial" w:cs="Arial"/>
          <w:iCs/>
          <w:sz w:val="24"/>
          <w:szCs w:val="24"/>
          <w:lang w:val="es-AR"/>
        </w:rPr>
        <w:t xml:space="preserve">para sí </w:t>
      </w:r>
      <w:r w:rsidRPr="003522C1">
        <w:rPr>
          <w:rFonts w:ascii="Arial" w:hAnsi="Arial" w:cs="Arial"/>
          <w:sz w:val="24"/>
          <w:szCs w:val="24"/>
          <w:lang w:val="es-AR"/>
        </w:rPr>
        <w:t>el derecho a la</w:t>
      </w:r>
      <w:r w:rsidRPr="003522C1">
        <w:rPr>
          <w:rFonts w:ascii="Arial" w:hAnsi="Arial" w:cs="Arial"/>
          <w:iCs/>
          <w:sz w:val="24"/>
          <w:szCs w:val="24"/>
          <w:lang w:val="es-AR"/>
        </w:rPr>
        <w:t xml:space="preserve"> </w:t>
      </w:r>
      <w:r w:rsidRPr="003522C1">
        <w:rPr>
          <w:rFonts w:ascii="Arial" w:hAnsi="Arial" w:cs="Arial"/>
          <w:sz w:val="24"/>
          <w:szCs w:val="24"/>
          <w:lang w:val="es-AR"/>
        </w:rPr>
        <w:t>última palabra. ¿Qué pasaría si cada intérprete estableciera niveles de protección</w:t>
      </w:r>
      <w:r w:rsidRPr="003522C1">
        <w:rPr>
          <w:rFonts w:ascii="Arial" w:hAnsi="Arial" w:cs="Arial"/>
          <w:iCs/>
          <w:sz w:val="24"/>
          <w:szCs w:val="24"/>
          <w:lang w:val="es-AR"/>
        </w:rPr>
        <w:t xml:space="preserve"> diversos </w:t>
      </w:r>
      <w:r w:rsidRPr="003522C1">
        <w:rPr>
          <w:rFonts w:ascii="Arial" w:hAnsi="Arial" w:cs="Arial"/>
          <w:sz w:val="24"/>
          <w:szCs w:val="24"/>
          <w:lang w:val="es-AR"/>
        </w:rPr>
        <w:t>para los derechos humanos vigentes en un territorio nacional determinado?</w:t>
      </w:r>
    </w:p>
    <w:p w:rsidR="00BE25A0" w:rsidRPr="003522C1" w:rsidRDefault="00101D9B" w:rsidP="00910107">
      <w:pPr>
        <w:autoSpaceDE w:val="0"/>
        <w:autoSpaceDN w:val="0"/>
        <w:adjustRightInd w:val="0"/>
        <w:spacing w:after="0" w:line="360" w:lineRule="auto"/>
        <w:jc w:val="both"/>
        <w:rPr>
          <w:rFonts w:ascii="Arial" w:hAnsi="Arial" w:cs="Arial"/>
          <w:iCs/>
          <w:sz w:val="24"/>
          <w:szCs w:val="24"/>
          <w:lang w:val="es-AR"/>
        </w:rPr>
      </w:pPr>
      <w:r>
        <w:rPr>
          <w:rFonts w:ascii="Arial" w:hAnsi="Arial" w:cs="Arial"/>
          <w:sz w:val="24"/>
          <w:szCs w:val="24"/>
          <w:lang w:val="es-AR"/>
        </w:rPr>
        <w:t>Expresa que l</w:t>
      </w:r>
      <w:r w:rsidR="00BE25A0" w:rsidRPr="003522C1">
        <w:rPr>
          <w:rFonts w:ascii="Arial" w:hAnsi="Arial" w:cs="Arial"/>
          <w:sz w:val="24"/>
          <w:szCs w:val="24"/>
          <w:lang w:val="es-AR"/>
        </w:rPr>
        <w:t xml:space="preserve">a conclusión no tarda en aparecer, dichos intérpretes </w:t>
      </w:r>
      <w:r w:rsidR="00BE25A0" w:rsidRPr="003522C1">
        <w:rPr>
          <w:rFonts w:ascii="Arial" w:hAnsi="Arial" w:cs="Arial"/>
          <w:iCs/>
          <w:sz w:val="24"/>
          <w:szCs w:val="24"/>
          <w:lang w:val="es-AR"/>
        </w:rPr>
        <w:t xml:space="preserve">están condenados a entenderse mediante un fluido dialogo judicial o interjurisdiccional para evitar el quiebre del equilibrio o la </w:t>
      </w:r>
      <w:r w:rsidR="0005307B" w:rsidRPr="003522C1">
        <w:rPr>
          <w:rFonts w:ascii="Arial" w:hAnsi="Arial" w:cs="Arial"/>
          <w:iCs/>
          <w:sz w:val="24"/>
          <w:szCs w:val="24"/>
          <w:lang w:val="es-AR"/>
        </w:rPr>
        <w:t>cohesión</w:t>
      </w:r>
      <w:r w:rsidR="00BE25A0" w:rsidRPr="003522C1">
        <w:rPr>
          <w:rFonts w:ascii="Arial" w:hAnsi="Arial" w:cs="Arial"/>
          <w:iCs/>
          <w:sz w:val="24"/>
          <w:szCs w:val="24"/>
          <w:lang w:val="es-AR"/>
        </w:rPr>
        <w:t xml:space="preserve"> interna dentro de la comunidad y se termine privando de eficacia a la norma interconectada.  </w:t>
      </w:r>
      <w:r w:rsidR="00BE25A0" w:rsidRPr="003522C1">
        <w:rPr>
          <w:rFonts w:ascii="Arial" w:hAnsi="Arial" w:cs="Arial"/>
          <w:sz w:val="24"/>
          <w:szCs w:val="24"/>
          <w:lang w:val="es-AR"/>
        </w:rPr>
        <w:t xml:space="preserve">Ahora bien, como </w:t>
      </w:r>
      <w:proofErr w:type="gramStart"/>
      <w:r w:rsidR="00BE25A0" w:rsidRPr="003522C1">
        <w:rPr>
          <w:rFonts w:ascii="Arial" w:hAnsi="Arial" w:cs="Arial"/>
          <w:sz w:val="24"/>
          <w:szCs w:val="24"/>
          <w:lang w:val="es-AR"/>
        </w:rPr>
        <w:t>primer afirmación concreta</w:t>
      </w:r>
      <w:proofErr w:type="gramEnd"/>
      <w:r w:rsidR="00BE25A0" w:rsidRPr="003522C1">
        <w:rPr>
          <w:rFonts w:ascii="Arial" w:hAnsi="Arial" w:cs="Arial"/>
          <w:sz w:val="24"/>
          <w:szCs w:val="24"/>
          <w:lang w:val="es-AR"/>
        </w:rPr>
        <w:t xml:space="preserve"> el diálogo interjurisdiccional</w:t>
      </w:r>
      <w:r w:rsidR="00BE25A0" w:rsidRPr="003522C1">
        <w:rPr>
          <w:rFonts w:ascii="Arial" w:hAnsi="Arial" w:cs="Arial"/>
          <w:iCs/>
          <w:sz w:val="24"/>
          <w:szCs w:val="24"/>
          <w:lang w:val="es-AR"/>
        </w:rPr>
        <w:t xml:space="preserve"> </w:t>
      </w:r>
      <w:r w:rsidR="00BE25A0" w:rsidRPr="003522C1">
        <w:rPr>
          <w:rFonts w:ascii="Arial" w:hAnsi="Arial" w:cs="Arial"/>
          <w:sz w:val="24"/>
          <w:szCs w:val="24"/>
          <w:lang w:val="es-AR"/>
        </w:rPr>
        <w:t xml:space="preserve">pareciera declarar incompatible con su esencia misma el uso de un leguaje en </w:t>
      </w:r>
      <w:r w:rsidR="00BE25A0" w:rsidRPr="003522C1">
        <w:rPr>
          <w:rFonts w:ascii="Arial" w:hAnsi="Arial" w:cs="Arial"/>
          <w:iCs/>
          <w:sz w:val="24"/>
          <w:szCs w:val="24"/>
          <w:lang w:val="es-AR"/>
        </w:rPr>
        <w:t>términos absolutos</w:t>
      </w:r>
      <w:r w:rsidR="00BE25A0" w:rsidRPr="003522C1">
        <w:rPr>
          <w:rFonts w:ascii="Arial" w:hAnsi="Arial" w:cs="Arial"/>
          <w:sz w:val="24"/>
          <w:szCs w:val="24"/>
          <w:lang w:val="es-AR"/>
        </w:rPr>
        <w:t xml:space="preserve">, </w:t>
      </w:r>
      <w:r w:rsidR="00BE25A0" w:rsidRPr="003522C1">
        <w:rPr>
          <w:rFonts w:ascii="Arial" w:hAnsi="Arial" w:cs="Arial"/>
          <w:iCs/>
          <w:sz w:val="24"/>
          <w:szCs w:val="24"/>
          <w:lang w:val="es-AR"/>
        </w:rPr>
        <w:t>excluyentes</w:t>
      </w:r>
      <w:r w:rsidR="00BE25A0" w:rsidRPr="003522C1">
        <w:rPr>
          <w:rFonts w:ascii="Arial" w:hAnsi="Arial" w:cs="Arial"/>
          <w:sz w:val="24"/>
          <w:szCs w:val="24"/>
          <w:lang w:val="es-AR"/>
        </w:rPr>
        <w:t xml:space="preserve">, más cercanos a un </w:t>
      </w:r>
      <w:r w:rsidR="00BE25A0" w:rsidRPr="003522C1">
        <w:rPr>
          <w:rFonts w:ascii="Arial" w:hAnsi="Arial" w:cs="Arial"/>
          <w:iCs/>
          <w:sz w:val="24"/>
          <w:szCs w:val="24"/>
          <w:lang w:val="es-AR"/>
        </w:rPr>
        <w:t xml:space="preserve">monólogo </w:t>
      </w:r>
      <w:r w:rsidR="00BE25A0" w:rsidRPr="003522C1">
        <w:rPr>
          <w:rFonts w:ascii="Arial" w:hAnsi="Arial" w:cs="Arial"/>
          <w:sz w:val="24"/>
          <w:szCs w:val="24"/>
          <w:lang w:val="es-AR"/>
        </w:rPr>
        <w:t>que al diálogo mismo. Partiendo</w:t>
      </w:r>
      <w:r w:rsidR="00BE25A0" w:rsidRPr="003522C1">
        <w:rPr>
          <w:rFonts w:ascii="Arial" w:hAnsi="Arial" w:cs="Arial"/>
          <w:iCs/>
          <w:sz w:val="24"/>
          <w:szCs w:val="24"/>
          <w:lang w:val="es-AR"/>
        </w:rPr>
        <w:t xml:space="preserve"> </w:t>
      </w:r>
      <w:r w:rsidR="00BE25A0" w:rsidRPr="003522C1">
        <w:rPr>
          <w:rFonts w:ascii="Arial" w:hAnsi="Arial" w:cs="Arial"/>
          <w:sz w:val="24"/>
          <w:szCs w:val="24"/>
          <w:lang w:val="es-AR"/>
        </w:rPr>
        <w:t>de dicha premisa se pueden encontrar tanto en la doctrina como la jurisprudencia, a</w:t>
      </w:r>
      <w:r w:rsidR="00BE25A0" w:rsidRPr="003522C1">
        <w:rPr>
          <w:rFonts w:ascii="Arial" w:hAnsi="Arial" w:cs="Arial"/>
          <w:iCs/>
          <w:sz w:val="24"/>
          <w:szCs w:val="24"/>
          <w:lang w:val="es-AR"/>
        </w:rPr>
        <w:t xml:space="preserve"> </w:t>
      </w:r>
      <w:r w:rsidR="00BE25A0" w:rsidRPr="003522C1">
        <w:rPr>
          <w:rFonts w:ascii="Arial" w:hAnsi="Arial" w:cs="Arial"/>
          <w:sz w:val="24"/>
          <w:szCs w:val="24"/>
          <w:lang w:val="es-AR"/>
        </w:rPr>
        <w:t xml:space="preserve">grandes rasgos, </w:t>
      </w:r>
      <w:r w:rsidR="00BE25A0" w:rsidRPr="003522C1">
        <w:rPr>
          <w:rFonts w:ascii="Arial" w:hAnsi="Arial" w:cs="Arial"/>
          <w:iCs/>
          <w:sz w:val="24"/>
          <w:szCs w:val="24"/>
          <w:lang w:val="es-AR"/>
        </w:rPr>
        <w:t xml:space="preserve">dos modos </w:t>
      </w:r>
      <w:r w:rsidR="00BE25A0" w:rsidRPr="003522C1">
        <w:rPr>
          <w:rFonts w:ascii="Arial" w:hAnsi="Arial" w:cs="Arial"/>
          <w:sz w:val="24"/>
          <w:szCs w:val="24"/>
          <w:lang w:val="es-AR"/>
        </w:rPr>
        <w:t>de construir el diálogo. Uno, donde se defiende un mayor</w:t>
      </w:r>
      <w:r w:rsidR="00BE25A0" w:rsidRPr="003522C1">
        <w:rPr>
          <w:rFonts w:ascii="Arial" w:hAnsi="Arial" w:cs="Arial"/>
          <w:iCs/>
          <w:sz w:val="24"/>
          <w:szCs w:val="24"/>
          <w:lang w:val="es-AR"/>
        </w:rPr>
        <w:t xml:space="preserve"> </w:t>
      </w:r>
      <w:r w:rsidR="00BE25A0" w:rsidRPr="003522C1">
        <w:rPr>
          <w:rFonts w:ascii="Arial" w:hAnsi="Arial" w:cs="Arial"/>
          <w:sz w:val="24"/>
          <w:szCs w:val="24"/>
          <w:lang w:val="es-AR"/>
        </w:rPr>
        <w:t xml:space="preserve">protagonismo del juez nacional apelando a un </w:t>
      </w:r>
      <w:proofErr w:type="spellStart"/>
      <w:r w:rsidR="00BE25A0" w:rsidRPr="003522C1">
        <w:rPr>
          <w:rFonts w:ascii="Arial" w:hAnsi="Arial" w:cs="Arial"/>
          <w:iCs/>
          <w:sz w:val="24"/>
          <w:szCs w:val="24"/>
          <w:lang w:val="es-AR"/>
        </w:rPr>
        <w:t>self-restraint</w:t>
      </w:r>
      <w:proofErr w:type="spellEnd"/>
      <w:r>
        <w:rPr>
          <w:rFonts w:ascii="Arial" w:hAnsi="Arial" w:cs="Arial"/>
          <w:iCs/>
          <w:sz w:val="24"/>
          <w:szCs w:val="24"/>
          <w:lang w:val="es-AR"/>
        </w:rPr>
        <w:t xml:space="preserve"> </w:t>
      </w:r>
      <w:r w:rsidR="00BE25A0" w:rsidRPr="003522C1">
        <w:rPr>
          <w:rFonts w:ascii="Arial" w:hAnsi="Arial" w:cs="Arial"/>
          <w:sz w:val="24"/>
          <w:szCs w:val="24"/>
          <w:lang w:val="es-AR"/>
        </w:rPr>
        <w:t>de los tribunales</w:t>
      </w:r>
      <w:r w:rsidR="00BE25A0" w:rsidRPr="003522C1">
        <w:rPr>
          <w:rFonts w:ascii="Arial" w:hAnsi="Arial" w:cs="Arial"/>
          <w:iCs/>
          <w:sz w:val="24"/>
          <w:szCs w:val="24"/>
          <w:lang w:val="es-AR"/>
        </w:rPr>
        <w:t xml:space="preserve"> </w:t>
      </w:r>
      <w:r w:rsidR="00BE25A0" w:rsidRPr="003522C1">
        <w:rPr>
          <w:rFonts w:ascii="Arial" w:hAnsi="Arial" w:cs="Arial"/>
          <w:sz w:val="24"/>
          <w:szCs w:val="24"/>
          <w:lang w:val="es-AR"/>
        </w:rPr>
        <w:t>supranacionales y al desarrollo –entre otras– de la doctrina del margen nacional de</w:t>
      </w:r>
      <w:r w:rsidR="00BE25A0" w:rsidRPr="003522C1">
        <w:rPr>
          <w:rFonts w:ascii="Arial" w:hAnsi="Arial" w:cs="Arial"/>
          <w:iCs/>
          <w:sz w:val="24"/>
          <w:szCs w:val="24"/>
          <w:lang w:val="es-AR"/>
        </w:rPr>
        <w:t xml:space="preserve"> </w:t>
      </w:r>
      <w:r w:rsidR="00BE25A0" w:rsidRPr="003522C1">
        <w:rPr>
          <w:rFonts w:ascii="Arial" w:hAnsi="Arial" w:cs="Arial"/>
          <w:sz w:val="24"/>
          <w:szCs w:val="24"/>
          <w:lang w:val="es-AR"/>
        </w:rPr>
        <w:t>apreciación. Otro, donde el mayor protagonismo lo reclaman los jueces supranacionales</w:t>
      </w:r>
      <w:r w:rsidR="00BE25A0" w:rsidRPr="003522C1">
        <w:rPr>
          <w:rFonts w:ascii="Arial" w:hAnsi="Arial" w:cs="Arial"/>
          <w:iCs/>
          <w:sz w:val="24"/>
          <w:szCs w:val="24"/>
          <w:lang w:val="es-AR"/>
        </w:rPr>
        <w:t xml:space="preserve"> </w:t>
      </w:r>
      <w:r w:rsidR="00BE25A0" w:rsidRPr="003522C1">
        <w:rPr>
          <w:rFonts w:ascii="Arial" w:hAnsi="Arial" w:cs="Arial"/>
          <w:sz w:val="24"/>
          <w:szCs w:val="24"/>
          <w:lang w:val="es-AR"/>
        </w:rPr>
        <w:t xml:space="preserve">y la </w:t>
      </w:r>
      <w:r w:rsidRPr="003522C1">
        <w:rPr>
          <w:rFonts w:ascii="Arial" w:hAnsi="Arial" w:cs="Arial"/>
          <w:iCs/>
          <w:sz w:val="24"/>
          <w:szCs w:val="24"/>
          <w:lang w:val="es-AR"/>
        </w:rPr>
        <w:t>auto contención</w:t>
      </w:r>
      <w:r w:rsidR="00BE25A0" w:rsidRPr="003522C1">
        <w:rPr>
          <w:rFonts w:ascii="Arial" w:hAnsi="Arial" w:cs="Arial"/>
          <w:iCs/>
          <w:sz w:val="24"/>
          <w:szCs w:val="24"/>
          <w:lang w:val="es-AR"/>
        </w:rPr>
        <w:t xml:space="preserve"> </w:t>
      </w:r>
      <w:r w:rsidR="00BE25A0" w:rsidRPr="003522C1">
        <w:rPr>
          <w:rFonts w:ascii="Arial" w:hAnsi="Arial" w:cs="Arial"/>
          <w:sz w:val="24"/>
          <w:szCs w:val="24"/>
          <w:lang w:val="es-AR"/>
        </w:rPr>
        <w:t>es reclamada a los jueces nacionales que prácticamente carecen de</w:t>
      </w:r>
      <w:r w:rsidR="00BE25A0" w:rsidRPr="003522C1">
        <w:rPr>
          <w:rFonts w:ascii="Arial" w:hAnsi="Arial" w:cs="Arial"/>
          <w:iCs/>
          <w:sz w:val="24"/>
          <w:szCs w:val="24"/>
          <w:lang w:val="es-AR"/>
        </w:rPr>
        <w:t xml:space="preserve"> </w:t>
      </w:r>
      <w:r w:rsidR="00BE25A0" w:rsidRPr="003522C1">
        <w:rPr>
          <w:rFonts w:ascii="Arial" w:hAnsi="Arial" w:cs="Arial"/>
          <w:sz w:val="24"/>
          <w:szCs w:val="24"/>
          <w:lang w:val="es-AR"/>
        </w:rPr>
        <w:t>un margen propio de interpretación. El primer modo es el que influye en el control de</w:t>
      </w:r>
      <w:r w:rsidR="00BE25A0" w:rsidRPr="003522C1">
        <w:rPr>
          <w:rFonts w:ascii="Arial" w:hAnsi="Arial" w:cs="Arial"/>
          <w:iCs/>
          <w:sz w:val="24"/>
          <w:szCs w:val="24"/>
          <w:lang w:val="es-AR"/>
        </w:rPr>
        <w:t xml:space="preserve"> </w:t>
      </w:r>
      <w:r w:rsidR="00BE25A0" w:rsidRPr="003522C1">
        <w:rPr>
          <w:rFonts w:ascii="Arial" w:hAnsi="Arial" w:cs="Arial"/>
          <w:sz w:val="24"/>
          <w:szCs w:val="24"/>
          <w:lang w:val="es-AR"/>
        </w:rPr>
        <w:t xml:space="preserve">convencionalidad europeo, el segundo en dicho control promovido por la </w:t>
      </w:r>
      <w:r w:rsidR="00BE25A0" w:rsidRPr="003522C1">
        <w:rPr>
          <w:rFonts w:ascii="Arial" w:hAnsi="Arial" w:cs="Arial"/>
          <w:sz w:val="24"/>
          <w:szCs w:val="24"/>
          <w:lang w:val="es-AR"/>
        </w:rPr>
        <w:lastRenderedPageBreak/>
        <w:t>Corte Interamericana.</w:t>
      </w:r>
      <w:r w:rsidR="00BE25A0" w:rsidRPr="003522C1">
        <w:rPr>
          <w:rFonts w:ascii="Arial" w:hAnsi="Arial" w:cs="Arial"/>
          <w:iCs/>
          <w:sz w:val="24"/>
          <w:szCs w:val="24"/>
          <w:lang w:val="es-AR"/>
        </w:rPr>
        <w:t xml:space="preserve"> </w:t>
      </w:r>
      <w:r w:rsidR="00BE25A0" w:rsidRPr="003522C1">
        <w:rPr>
          <w:rFonts w:ascii="Arial" w:hAnsi="Arial" w:cs="Arial"/>
          <w:sz w:val="24"/>
          <w:szCs w:val="24"/>
          <w:lang w:val="es-AR"/>
        </w:rPr>
        <w:t xml:space="preserve">El diverso </w:t>
      </w:r>
      <w:r w:rsidR="00BE25A0" w:rsidRPr="003522C1">
        <w:rPr>
          <w:rFonts w:ascii="Arial" w:hAnsi="Arial" w:cs="Arial"/>
          <w:iCs/>
          <w:sz w:val="24"/>
          <w:szCs w:val="24"/>
          <w:lang w:val="es-AR"/>
        </w:rPr>
        <w:t xml:space="preserve">origen </w:t>
      </w:r>
      <w:r w:rsidR="00BE25A0" w:rsidRPr="003522C1">
        <w:rPr>
          <w:rFonts w:ascii="Arial" w:hAnsi="Arial" w:cs="Arial"/>
          <w:sz w:val="24"/>
          <w:szCs w:val="24"/>
          <w:lang w:val="es-AR"/>
        </w:rPr>
        <w:t xml:space="preserve">de los distintos niveles de protección involucrados, presenta al </w:t>
      </w:r>
      <w:r w:rsidR="00BE25A0" w:rsidRPr="003522C1">
        <w:rPr>
          <w:rFonts w:ascii="Arial" w:hAnsi="Arial" w:cs="Arial"/>
          <w:iCs/>
          <w:sz w:val="24"/>
          <w:szCs w:val="24"/>
          <w:lang w:val="es-AR"/>
        </w:rPr>
        <w:t xml:space="preserve">conflicto </w:t>
      </w:r>
      <w:r w:rsidR="00BE25A0" w:rsidRPr="003522C1">
        <w:rPr>
          <w:rFonts w:ascii="Arial" w:hAnsi="Arial" w:cs="Arial"/>
          <w:sz w:val="24"/>
          <w:szCs w:val="24"/>
          <w:lang w:val="es-AR"/>
        </w:rPr>
        <w:t xml:space="preserve">entre ordenamientos como una </w:t>
      </w:r>
      <w:r w:rsidR="00BE25A0" w:rsidRPr="003522C1">
        <w:rPr>
          <w:rFonts w:ascii="Arial" w:hAnsi="Arial" w:cs="Arial"/>
          <w:iCs/>
          <w:sz w:val="24"/>
          <w:szCs w:val="24"/>
          <w:lang w:val="es-AR"/>
        </w:rPr>
        <w:t>constante</w:t>
      </w:r>
      <w:r w:rsidR="00BE25A0" w:rsidRPr="003522C1">
        <w:rPr>
          <w:rFonts w:ascii="Arial" w:hAnsi="Arial" w:cs="Arial"/>
          <w:sz w:val="24"/>
          <w:szCs w:val="24"/>
          <w:lang w:val="es-AR"/>
        </w:rPr>
        <w:t>.</w:t>
      </w:r>
    </w:p>
    <w:p w:rsidR="00BE25A0" w:rsidRPr="003522C1" w:rsidRDefault="00BE25A0" w:rsidP="00910107">
      <w:pPr>
        <w:autoSpaceDE w:val="0"/>
        <w:autoSpaceDN w:val="0"/>
        <w:adjustRightInd w:val="0"/>
        <w:spacing w:after="0" w:line="360" w:lineRule="auto"/>
        <w:jc w:val="both"/>
        <w:rPr>
          <w:rFonts w:ascii="Arial" w:hAnsi="Arial" w:cs="Arial"/>
          <w:sz w:val="24"/>
          <w:szCs w:val="24"/>
          <w:lang w:val="es-AR"/>
        </w:rPr>
      </w:pPr>
      <w:r w:rsidRPr="003522C1">
        <w:rPr>
          <w:rFonts w:ascii="Arial" w:hAnsi="Arial" w:cs="Arial"/>
          <w:sz w:val="24"/>
          <w:szCs w:val="24"/>
          <w:lang w:val="es-AR"/>
        </w:rPr>
        <w:t xml:space="preserve">En este sentido, el diálogo es la búsqueda de </w:t>
      </w:r>
      <w:r w:rsidR="0005307B" w:rsidRPr="003522C1">
        <w:rPr>
          <w:rFonts w:ascii="Arial" w:hAnsi="Arial" w:cs="Arial"/>
          <w:sz w:val="24"/>
          <w:szCs w:val="24"/>
          <w:lang w:val="es-AR"/>
        </w:rPr>
        <w:t>un equilibrio constante,</w:t>
      </w:r>
      <w:r w:rsidRPr="003522C1">
        <w:rPr>
          <w:rFonts w:ascii="Arial" w:hAnsi="Arial" w:cs="Arial"/>
          <w:sz w:val="24"/>
          <w:szCs w:val="24"/>
          <w:lang w:val="es-AR"/>
        </w:rPr>
        <w:t xml:space="preserve"> </w:t>
      </w:r>
      <w:r w:rsidR="0005307B" w:rsidRPr="003522C1">
        <w:rPr>
          <w:rFonts w:ascii="Arial" w:hAnsi="Arial" w:cs="Arial"/>
          <w:sz w:val="24"/>
          <w:szCs w:val="24"/>
          <w:lang w:val="es-AR"/>
        </w:rPr>
        <w:t>p</w:t>
      </w:r>
      <w:r w:rsidRPr="003522C1">
        <w:rPr>
          <w:rFonts w:ascii="Arial" w:hAnsi="Arial" w:cs="Arial"/>
          <w:sz w:val="24"/>
          <w:szCs w:val="24"/>
          <w:lang w:val="es-AR"/>
        </w:rPr>
        <w:t xml:space="preserve">ara desarrollar dicho diálogo, en consecuencia, los miembros de la comunidad de intérpretes finales –jueces nacionales y órganos supranacionales- deben fijar como punto de partida </w:t>
      </w:r>
      <w:r w:rsidRPr="003522C1">
        <w:rPr>
          <w:rFonts w:ascii="Arial" w:hAnsi="Arial" w:cs="Arial"/>
          <w:iCs/>
          <w:sz w:val="24"/>
          <w:szCs w:val="24"/>
          <w:lang w:val="es-AR"/>
        </w:rPr>
        <w:t xml:space="preserve">interpretaciones inclusivas </w:t>
      </w:r>
      <w:r w:rsidRPr="003522C1">
        <w:rPr>
          <w:rFonts w:ascii="Arial" w:hAnsi="Arial" w:cs="Arial"/>
          <w:sz w:val="24"/>
          <w:szCs w:val="24"/>
          <w:lang w:val="es-AR"/>
        </w:rPr>
        <w:t xml:space="preserve">y no </w:t>
      </w:r>
      <w:r w:rsidRPr="003522C1">
        <w:rPr>
          <w:rFonts w:ascii="Arial" w:hAnsi="Arial" w:cs="Arial"/>
          <w:iCs/>
          <w:sz w:val="24"/>
          <w:szCs w:val="24"/>
          <w:lang w:val="es-AR"/>
        </w:rPr>
        <w:t>interpretaciones excluyentes</w:t>
      </w:r>
      <w:r w:rsidRPr="003522C1">
        <w:rPr>
          <w:rFonts w:ascii="Arial" w:hAnsi="Arial" w:cs="Arial"/>
          <w:sz w:val="24"/>
          <w:szCs w:val="24"/>
          <w:lang w:val="es-AR"/>
        </w:rPr>
        <w:t xml:space="preserve">. Es decir, distanciarse de posturas de carácter absoluto –sin punto de equilibrio– para promover posturas integradas representadas en lo que denominamos </w:t>
      </w:r>
      <w:r w:rsidRPr="003522C1">
        <w:rPr>
          <w:rFonts w:ascii="Arial" w:hAnsi="Arial" w:cs="Arial"/>
          <w:iCs/>
          <w:sz w:val="24"/>
          <w:szCs w:val="24"/>
          <w:lang w:val="es-AR"/>
        </w:rPr>
        <w:t>reglas de</w:t>
      </w:r>
      <w:r w:rsidRPr="003522C1">
        <w:rPr>
          <w:rFonts w:ascii="Arial" w:hAnsi="Arial" w:cs="Arial"/>
          <w:sz w:val="24"/>
          <w:szCs w:val="24"/>
          <w:lang w:val="es-AR"/>
        </w:rPr>
        <w:t xml:space="preserve"> </w:t>
      </w:r>
      <w:r w:rsidRPr="003522C1">
        <w:rPr>
          <w:rFonts w:ascii="Arial" w:hAnsi="Arial" w:cs="Arial"/>
          <w:iCs/>
          <w:sz w:val="24"/>
          <w:szCs w:val="24"/>
          <w:lang w:val="es-AR"/>
        </w:rPr>
        <w:t>cohabitación de intérpretes</w:t>
      </w:r>
      <w:r w:rsidRPr="003522C1">
        <w:rPr>
          <w:rFonts w:ascii="Arial" w:hAnsi="Arial" w:cs="Arial"/>
          <w:sz w:val="24"/>
          <w:szCs w:val="24"/>
          <w:lang w:val="es-AR"/>
        </w:rPr>
        <w:t xml:space="preserve">. Estas reglas, producto generalmente de la práctica jurisdiccional nacional y supranacional, permiten la </w:t>
      </w:r>
      <w:r w:rsidRPr="003522C1">
        <w:rPr>
          <w:rFonts w:ascii="Arial" w:hAnsi="Arial" w:cs="Arial"/>
          <w:iCs/>
          <w:sz w:val="24"/>
          <w:szCs w:val="24"/>
          <w:lang w:val="es-AR"/>
        </w:rPr>
        <w:t>solución de conflictos por la</w:t>
      </w:r>
      <w:r w:rsidRPr="003522C1">
        <w:rPr>
          <w:rFonts w:ascii="Arial" w:hAnsi="Arial" w:cs="Arial"/>
          <w:sz w:val="24"/>
          <w:szCs w:val="24"/>
          <w:lang w:val="es-AR"/>
        </w:rPr>
        <w:t xml:space="preserve"> </w:t>
      </w:r>
      <w:r w:rsidRPr="003522C1">
        <w:rPr>
          <w:rFonts w:ascii="Arial" w:hAnsi="Arial" w:cs="Arial"/>
          <w:iCs/>
          <w:sz w:val="24"/>
          <w:szCs w:val="24"/>
          <w:lang w:val="es-AR"/>
        </w:rPr>
        <w:t xml:space="preserve">última palabra en la interpretación de normas interconectadas. </w:t>
      </w:r>
      <w:r w:rsidRPr="003522C1">
        <w:rPr>
          <w:rFonts w:ascii="Arial" w:hAnsi="Arial" w:cs="Arial"/>
          <w:sz w:val="24"/>
          <w:szCs w:val="24"/>
          <w:lang w:val="es-AR"/>
        </w:rPr>
        <w:t xml:space="preserve">A tal efecto, representan consensos básicos por la comunidad de intérpretes en su conjunto. El reconocimiento de un </w:t>
      </w:r>
      <w:r w:rsidRPr="003522C1">
        <w:rPr>
          <w:rFonts w:ascii="Arial" w:hAnsi="Arial" w:cs="Arial"/>
          <w:iCs/>
          <w:sz w:val="24"/>
          <w:szCs w:val="24"/>
          <w:lang w:val="es-AR"/>
        </w:rPr>
        <w:t xml:space="preserve">margen nacional de apreciación </w:t>
      </w:r>
      <w:r w:rsidRPr="003522C1">
        <w:rPr>
          <w:rFonts w:ascii="Arial" w:hAnsi="Arial" w:cs="Arial"/>
          <w:sz w:val="24"/>
          <w:szCs w:val="24"/>
          <w:lang w:val="es-AR"/>
        </w:rPr>
        <w:t xml:space="preserve">o la </w:t>
      </w:r>
      <w:r w:rsidRPr="003522C1">
        <w:rPr>
          <w:rFonts w:ascii="Arial" w:hAnsi="Arial" w:cs="Arial"/>
          <w:iCs/>
          <w:sz w:val="24"/>
          <w:szCs w:val="24"/>
          <w:lang w:val="es-AR"/>
        </w:rPr>
        <w:t xml:space="preserve">interpretación conforme </w:t>
      </w:r>
      <w:r w:rsidRPr="003522C1">
        <w:rPr>
          <w:rFonts w:ascii="Arial" w:hAnsi="Arial" w:cs="Arial"/>
          <w:sz w:val="24"/>
          <w:szCs w:val="24"/>
          <w:lang w:val="es-AR"/>
        </w:rPr>
        <w:t>son parte de las citadas reglas. Sin embargo, no debe olvidarse que, el gran desafío que sucede al consenso alcanzado sobre una regla de cohabitación, constituye a la vez un límite a la cohabitación misma.</w:t>
      </w:r>
      <w:r w:rsidR="00722C7A" w:rsidRPr="003522C1">
        <w:rPr>
          <w:rFonts w:ascii="Arial" w:hAnsi="Arial" w:cs="Arial"/>
          <w:sz w:val="24"/>
          <w:szCs w:val="24"/>
          <w:vertAlign w:val="subscript"/>
          <w:lang w:val="es-AR"/>
        </w:rPr>
        <w:t>9</w:t>
      </w:r>
      <w:r w:rsidR="0005307B" w:rsidRPr="003522C1">
        <w:rPr>
          <w:rFonts w:ascii="Arial" w:hAnsi="Arial" w:cs="Arial"/>
          <w:sz w:val="24"/>
          <w:szCs w:val="24"/>
          <w:vertAlign w:val="subscript"/>
          <w:lang w:val="es-AR"/>
        </w:rPr>
        <w:t>.</w:t>
      </w:r>
    </w:p>
    <w:p w:rsidR="00B806AE" w:rsidRPr="003522C1" w:rsidRDefault="002D5625" w:rsidP="00910107">
      <w:pPr>
        <w:autoSpaceDE w:val="0"/>
        <w:autoSpaceDN w:val="0"/>
        <w:adjustRightInd w:val="0"/>
        <w:spacing w:after="0" w:line="360" w:lineRule="auto"/>
        <w:jc w:val="both"/>
        <w:rPr>
          <w:rFonts w:ascii="Arial" w:hAnsi="Arial" w:cs="Arial"/>
          <w:b/>
          <w:sz w:val="24"/>
          <w:szCs w:val="24"/>
          <w:lang w:val="es-AR"/>
        </w:rPr>
      </w:pPr>
      <w:r w:rsidRPr="003522C1">
        <w:rPr>
          <w:rFonts w:ascii="Arial" w:hAnsi="Arial" w:cs="Arial"/>
          <w:b/>
          <w:sz w:val="24"/>
          <w:szCs w:val="24"/>
          <w:lang w:val="es-AR"/>
        </w:rPr>
        <w:t xml:space="preserve">4)- </w:t>
      </w:r>
      <w:r w:rsidR="00CB1E2A" w:rsidRPr="003522C1">
        <w:rPr>
          <w:rFonts w:ascii="Arial" w:hAnsi="Arial" w:cs="Arial"/>
          <w:b/>
          <w:sz w:val="24"/>
          <w:szCs w:val="24"/>
          <w:lang w:val="es-AR"/>
        </w:rPr>
        <w:t xml:space="preserve"> LA </w:t>
      </w:r>
      <w:r w:rsidR="0005307B" w:rsidRPr="003522C1">
        <w:rPr>
          <w:rFonts w:ascii="Arial" w:hAnsi="Arial" w:cs="Arial"/>
          <w:b/>
          <w:sz w:val="24"/>
          <w:szCs w:val="24"/>
          <w:lang w:val="es-AR"/>
        </w:rPr>
        <w:t>ÚLTIMA</w:t>
      </w:r>
      <w:r w:rsidR="00CB1E2A" w:rsidRPr="003522C1">
        <w:rPr>
          <w:rFonts w:ascii="Arial" w:hAnsi="Arial" w:cs="Arial"/>
          <w:b/>
          <w:sz w:val="24"/>
          <w:szCs w:val="24"/>
          <w:lang w:val="es-AR"/>
        </w:rPr>
        <w:t xml:space="preserve"> PALABRA EN EL </w:t>
      </w:r>
      <w:r w:rsidRPr="003522C1">
        <w:rPr>
          <w:rFonts w:ascii="Arial" w:hAnsi="Arial" w:cs="Arial"/>
          <w:b/>
          <w:sz w:val="24"/>
          <w:szCs w:val="24"/>
          <w:lang w:val="es-AR"/>
        </w:rPr>
        <w:t>SISTEMA EUROPEO:</w:t>
      </w:r>
    </w:p>
    <w:p w:rsidR="002D5625" w:rsidRPr="003522C1" w:rsidRDefault="002D5625" w:rsidP="00910107">
      <w:pPr>
        <w:autoSpaceDE w:val="0"/>
        <w:autoSpaceDN w:val="0"/>
        <w:adjustRightInd w:val="0"/>
        <w:spacing w:after="0" w:line="360" w:lineRule="auto"/>
        <w:jc w:val="both"/>
        <w:rPr>
          <w:rFonts w:ascii="Arial" w:hAnsi="Arial" w:cs="Arial"/>
          <w:sz w:val="24"/>
          <w:szCs w:val="24"/>
          <w:lang w:val="es-AR"/>
        </w:rPr>
      </w:pPr>
      <w:r w:rsidRPr="003522C1">
        <w:rPr>
          <w:rFonts w:ascii="Arial" w:hAnsi="Arial" w:cs="Arial"/>
          <w:b/>
          <w:sz w:val="24"/>
          <w:szCs w:val="24"/>
          <w:lang w:val="es-AR"/>
        </w:rPr>
        <w:t xml:space="preserve"> </w:t>
      </w:r>
      <w:r w:rsidR="00C9386B" w:rsidRPr="00C9386B">
        <w:rPr>
          <w:rFonts w:ascii="Arial" w:hAnsi="Arial" w:cs="Arial"/>
          <w:sz w:val="24"/>
          <w:szCs w:val="24"/>
          <w:lang w:val="es-AR"/>
        </w:rPr>
        <w:t>En prieta síntesis se puede decir que</w:t>
      </w:r>
      <w:r w:rsidR="00C9386B">
        <w:rPr>
          <w:rFonts w:ascii="Arial" w:hAnsi="Arial" w:cs="Arial"/>
          <w:b/>
          <w:sz w:val="24"/>
          <w:szCs w:val="24"/>
          <w:lang w:val="es-AR"/>
        </w:rPr>
        <w:t xml:space="preserve"> </w:t>
      </w:r>
      <w:r w:rsidR="00C9386B">
        <w:rPr>
          <w:rFonts w:ascii="Arial" w:hAnsi="Arial" w:cs="Arial"/>
          <w:sz w:val="24"/>
          <w:szCs w:val="24"/>
        </w:rPr>
        <w:t>e</w:t>
      </w:r>
      <w:r w:rsidR="00722C7A" w:rsidRPr="003522C1">
        <w:rPr>
          <w:rFonts w:ascii="Arial" w:hAnsi="Arial" w:cs="Arial"/>
          <w:sz w:val="24"/>
          <w:szCs w:val="24"/>
        </w:rPr>
        <w:t>l</w:t>
      </w:r>
      <w:r w:rsidRPr="003522C1">
        <w:rPr>
          <w:rFonts w:ascii="Arial" w:hAnsi="Arial" w:cs="Arial"/>
          <w:sz w:val="24"/>
          <w:szCs w:val="24"/>
        </w:rPr>
        <w:t xml:space="preserve"> Tribunal de Justicia Europeo “TJ” desde hace varias décadas ha afirmado tener la última palabra en todo aquello que se vincula con el Derecho de la Unión Europea (que como su jurisprudencia lo ha establecido se caracteriza por su primacía, efecto directo y aplicación automática e inmediata), el Tribunal Constitucional Federal Alemán (TCFA) afirmó que se reservaba la competencia de determinar cuándo tal autoridad de la Unión actúa.</w:t>
      </w:r>
      <w:r w:rsidRPr="003522C1">
        <w:rPr>
          <w:rFonts w:ascii="Arial" w:hAnsi="Arial" w:cs="Arial"/>
          <w:sz w:val="24"/>
          <w:szCs w:val="24"/>
          <w:lang w:val="es-AR"/>
        </w:rPr>
        <w:t xml:space="preserve"> </w:t>
      </w:r>
      <w:r w:rsidRPr="003522C1">
        <w:rPr>
          <w:rFonts w:ascii="Arial" w:hAnsi="Arial" w:cs="Arial"/>
          <w:color w:val="000000"/>
          <w:sz w:val="24"/>
          <w:szCs w:val="24"/>
          <w:lang w:val="es-AR"/>
        </w:rPr>
        <w:t xml:space="preserve">Hay que advertir que, no </w:t>
      </w:r>
      <w:proofErr w:type="gramStart"/>
      <w:r w:rsidRPr="003522C1">
        <w:rPr>
          <w:rFonts w:ascii="Arial" w:hAnsi="Arial" w:cs="Arial"/>
          <w:color w:val="000000"/>
          <w:sz w:val="24"/>
          <w:szCs w:val="24"/>
          <w:lang w:val="es-AR"/>
        </w:rPr>
        <w:t>obstante</w:t>
      </w:r>
      <w:proofErr w:type="gramEnd"/>
      <w:r w:rsidRPr="003522C1">
        <w:rPr>
          <w:rFonts w:ascii="Arial" w:hAnsi="Arial" w:cs="Arial"/>
          <w:color w:val="000000"/>
          <w:sz w:val="24"/>
          <w:szCs w:val="24"/>
          <w:lang w:val="es-AR"/>
        </w:rPr>
        <w:t xml:space="preserve"> lo anterior, cuando el TCFA tuvo la oportunidad de aplicar la posición expuesta, atenuó sus afirmaciones en gran medida. </w:t>
      </w:r>
    </w:p>
    <w:p w:rsidR="002D5625" w:rsidRPr="003522C1" w:rsidRDefault="002D5625" w:rsidP="00910107">
      <w:pPr>
        <w:pStyle w:val="Default"/>
        <w:spacing w:line="360" w:lineRule="auto"/>
        <w:jc w:val="both"/>
        <w:rPr>
          <w:rFonts w:ascii="Arial" w:hAnsi="Arial" w:cs="Arial"/>
        </w:rPr>
      </w:pPr>
      <w:r w:rsidRPr="003522C1">
        <w:rPr>
          <w:rFonts w:ascii="Arial" w:hAnsi="Arial" w:cs="Arial"/>
        </w:rPr>
        <w:lastRenderedPageBreak/>
        <w:t xml:space="preserve">En efecto, en la sentencia de julio de 2010, asunto denominado Honeywell, el TCFA en primer lugar señaló que, en ejercicio de su competencia de determinar si una actuación es o no </w:t>
      </w:r>
      <w:r w:rsidRPr="003522C1">
        <w:rPr>
          <w:rFonts w:ascii="Arial" w:hAnsi="Arial" w:cs="Arial"/>
          <w:iCs/>
        </w:rPr>
        <w:t>ultra vires</w:t>
      </w:r>
      <w:r w:rsidRPr="003522C1">
        <w:rPr>
          <w:rFonts w:ascii="Arial" w:hAnsi="Arial" w:cs="Arial"/>
        </w:rPr>
        <w:t>, es necesario tener en cuenta que al TJ le corresponde salvaguardar la unidad y coherencia del Derecho de la Unión Europea, y no puede perderse de vista una actitud de apertura al derecho comunitario; y en segundo lugar, para proceder a cualquier análisis, (i) el TJ debió tener la posibilidad de pronunciarse sobre la validez del acto bajo estudio, (ii) debe tratarse de una violación manifiesta</w:t>
      </w:r>
      <w:r w:rsidR="00722C7A" w:rsidRPr="003522C1">
        <w:rPr>
          <w:rFonts w:ascii="Arial" w:hAnsi="Arial" w:cs="Arial"/>
        </w:rPr>
        <w:t xml:space="preserve"> </w:t>
      </w:r>
      <w:r w:rsidRPr="003522C1">
        <w:rPr>
          <w:rFonts w:ascii="Arial" w:hAnsi="Arial" w:cs="Arial"/>
        </w:rPr>
        <w:t xml:space="preserve">del principio de la competencia de atribución, y (iii) es necesario admitir que el TJ tiene un </w:t>
      </w:r>
      <w:r w:rsidR="005620C1" w:rsidRPr="003522C1">
        <w:rPr>
          <w:rFonts w:ascii="Arial" w:hAnsi="Arial" w:cs="Arial"/>
        </w:rPr>
        <w:t xml:space="preserve">margen de error. </w:t>
      </w:r>
      <w:r w:rsidRPr="003522C1">
        <w:rPr>
          <w:rFonts w:ascii="Arial" w:hAnsi="Arial" w:cs="Arial"/>
        </w:rPr>
        <w:t xml:space="preserve">En otras palabras, no </w:t>
      </w:r>
      <w:proofErr w:type="gramStart"/>
      <w:r w:rsidRPr="003522C1">
        <w:rPr>
          <w:rFonts w:ascii="Arial" w:hAnsi="Arial" w:cs="Arial"/>
        </w:rPr>
        <w:t>obstante</w:t>
      </w:r>
      <w:proofErr w:type="gramEnd"/>
      <w:r w:rsidRPr="003522C1">
        <w:rPr>
          <w:rFonts w:ascii="Arial" w:hAnsi="Arial" w:cs="Arial"/>
        </w:rPr>
        <w:t xml:space="preserve"> la severidad de su sentencia Lisboa, posteriormente se advierte como el TCFA, más consciente de la necesidad de generar diálogo y no discordia entre las Cortes, limitó considerablemente la posibilidad de activar su competencia por actuaciones </w:t>
      </w:r>
      <w:r w:rsidRPr="003522C1">
        <w:rPr>
          <w:rFonts w:ascii="Arial" w:hAnsi="Arial" w:cs="Arial"/>
          <w:iCs/>
        </w:rPr>
        <w:t xml:space="preserve">ultra vires </w:t>
      </w:r>
      <w:r w:rsidRPr="003522C1">
        <w:rPr>
          <w:rFonts w:ascii="Arial" w:hAnsi="Arial" w:cs="Arial"/>
        </w:rPr>
        <w:t xml:space="preserve">de los órganos de la Unión. </w:t>
      </w:r>
    </w:p>
    <w:p w:rsidR="00CB1E2A" w:rsidRDefault="00D3427E" w:rsidP="00910107">
      <w:pPr>
        <w:pStyle w:val="Default"/>
        <w:spacing w:line="360" w:lineRule="auto"/>
        <w:jc w:val="both"/>
        <w:rPr>
          <w:rFonts w:ascii="Arial" w:hAnsi="Arial" w:cs="Arial"/>
        </w:rPr>
      </w:pPr>
      <w:r w:rsidRPr="003522C1">
        <w:rPr>
          <w:rFonts w:ascii="Arial" w:hAnsi="Arial" w:cs="Arial"/>
        </w:rPr>
        <w:t>La Unión Europea, com</w:t>
      </w:r>
      <w:r w:rsidR="00B806AE" w:rsidRPr="003522C1">
        <w:rPr>
          <w:rFonts w:ascii="Arial" w:hAnsi="Arial" w:cs="Arial"/>
        </w:rPr>
        <w:t xml:space="preserve">o organización </w:t>
      </w:r>
      <w:proofErr w:type="gramStart"/>
      <w:r w:rsidR="00B806AE" w:rsidRPr="003522C1">
        <w:rPr>
          <w:rFonts w:ascii="Arial" w:hAnsi="Arial" w:cs="Arial"/>
        </w:rPr>
        <w:t xml:space="preserve">supranacional </w:t>
      </w:r>
      <w:r w:rsidRPr="003522C1">
        <w:rPr>
          <w:rFonts w:ascii="Arial" w:hAnsi="Arial" w:cs="Arial"/>
        </w:rPr>
        <w:t xml:space="preserve"> es</w:t>
      </w:r>
      <w:proofErr w:type="gramEnd"/>
      <w:r w:rsidRPr="003522C1">
        <w:rPr>
          <w:rFonts w:ascii="Arial" w:hAnsi="Arial" w:cs="Arial"/>
        </w:rPr>
        <w:t xml:space="preserve"> un paradigma de la integración en el mundo, debe continuar su camino de perfeccionamiento y, en este trasegar, no debe dudarse que el conjunto de valores que la forjó, entre los cuales la tolerancia tiene un lugar principal, va a seguir guiando su camino para continuamente actualizarla a los desafíos del mundo de hoy.</w:t>
      </w:r>
      <w:r w:rsidR="009655C1">
        <w:rPr>
          <w:rFonts w:ascii="Arial" w:hAnsi="Arial" w:cs="Arial"/>
          <w:vertAlign w:val="subscript"/>
        </w:rPr>
        <w:t>10</w:t>
      </w:r>
      <w:r w:rsidR="00CB1E2A" w:rsidRPr="003522C1">
        <w:rPr>
          <w:rFonts w:ascii="Arial" w:hAnsi="Arial" w:cs="Arial"/>
        </w:rPr>
        <w:t xml:space="preserve"> </w:t>
      </w:r>
    </w:p>
    <w:p w:rsidR="00C9386B" w:rsidRPr="003522C1" w:rsidRDefault="00C9386B" w:rsidP="00910107">
      <w:pPr>
        <w:pStyle w:val="Default"/>
        <w:spacing w:line="360" w:lineRule="auto"/>
        <w:jc w:val="both"/>
        <w:rPr>
          <w:rFonts w:ascii="Arial" w:hAnsi="Arial" w:cs="Arial"/>
        </w:rPr>
      </w:pPr>
    </w:p>
    <w:p w:rsidR="002D7F7E" w:rsidRPr="003522C1" w:rsidRDefault="00ED7983" w:rsidP="00910107">
      <w:pPr>
        <w:autoSpaceDE w:val="0"/>
        <w:autoSpaceDN w:val="0"/>
        <w:adjustRightInd w:val="0"/>
        <w:spacing w:after="0" w:line="360" w:lineRule="auto"/>
        <w:jc w:val="both"/>
        <w:rPr>
          <w:rFonts w:ascii="Arial" w:hAnsi="Arial" w:cs="Arial"/>
          <w:color w:val="000000"/>
          <w:sz w:val="24"/>
          <w:szCs w:val="24"/>
          <w:lang w:val="es-AR"/>
        </w:rPr>
      </w:pPr>
      <w:r w:rsidRPr="003522C1">
        <w:rPr>
          <w:rFonts w:ascii="Arial" w:hAnsi="Arial" w:cs="Arial"/>
          <w:b/>
          <w:color w:val="000000"/>
          <w:sz w:val="24"/>
          <w:szCs w:val="24"/>
          <w:lang w:val="es-AR"/>
        </w:rPr>
        <w:t>5).-</w:t>
      </w:r>
      <w:r w:rsidR="00DB7944" w:rsidRPr="003522C1">
        <w:rPr>
          <w:rFonts w:ascii="Arial" w:hAnsi="Arial" w:cs="Arial"/>
          <w:b/>
          <w:color w:val="000000"/>
          <w:sz w:val="24"/>
          <w:szCs w:val="24"/>
          <w:lang w:val="es-AR"/>
        </w:rPr>
        <w:t>REFLEXIONES</w:t>
      </w:r>
      <w:r w:rsidR="00F03C00" w:rsidRPr="003522C1">
        <w:rPr>
          <w:rFonts w:ascii="Arial" w:hAnsi="Arial" w:cs="Arial"/>
          <w:b/>
          <w:color w:val="000000"/>
          <w:sz w:val="24"/>
          <w:szCs w:val="24"/>
          <w:lang w:val="es-AR"/>
        </w:rPr>
        <w:t xml:space="preserve"> FINALES:</w:t>
      </w:r>
    </w:p>
    <w:p w:rsidR="001C0EF3" w:rsidRPr="003522C1" w:rsidRDefault="00F03C00" w:rsidP="00910107">
      <w:pPr>
        <w:autoSpaceDE w:val="0"/>
        <w:autoSpaceDN w:val="0"/>
        <w:adjustRightInd w:val="0"/>
        <w:spacing w:after="0" w:line="360" w:lineRule="auto"/>
        <w:jc w:val="both"/>
        <w:rPr>
          <w:rFonts w:ascii="Arial" w:hAnsi="Arial" w:cs="Arial"/>
          <w:color w:val="000000"/>
          <w:sz w:val="24"/>
          <w:szCs w:val="24"/>
          <w:lang w:val="es-AR"/>
        </w:rPr>
      </w:pPr>
      <w:r w:rsidRPr="003522C1">
        <w:rPr>
          <w:rFonts w:ascii="Arial" w:hAnsi="Arial" w:cs="Arial"/>
          <w:color w:val="000000"/>
          <w:sz w:val="24"/>
          <w:szCs w:val="24"/>
          <w:lang w:val="es-AR"/>
        </w:rPr>
        <w:t>Del análisis del fallo</w:t>
      </w:r>
      <w:r w:rsidR="00C9386B">
        <w:rPr>
          <w:rFonts w:ascii="Arial" w:hAnsi="Arial" w:cs="Arial"/>
          <w:color w:val="000000"/>
          <w:sz w:val="24"/>
          <w:szCs w:val="24"/>
          <w:lang w:val="es-AR"/>
        </w:rPr>
        <w:t xml:space="preserve"> mayoritario </w:t>
      </w:r>
      <w:r w:rsidRPr="003522C1">
        <w:rPr>
          <w:rFonts w:ascii="Arial" w:hAnsi="Arial" w:cs="Arial"/>
          <w:color w:val="000000"/>
          <w:sz w:val="24"/>
          <w:szCs w:val="24"/>
          <w:lang w:val="es-AR"/>
        </w:rPr>
        <w:t xml:space="preserve">de la CSJN “FONTEVECCHIA”, conforme los argumentos expuestos  </w:t>
      </w:r>
      <w:r w:rsidR="00C41882" w:rsidRPr="003522C1">
        <w:rPr>
          <w:rFonts w:ascii="Arial" w:hAnsi="Arial" w:cs="Arial"/>
          <w:color w:val="000000"/>
          <w:sz w:val="24"/>
          <w:szCs w:val="24"/>
          <w:lang w:val="es-AR"/>
        </w:rPr>
        <w:t xml:space="preserve">considero que con el mismo se desanda los largos caminos recorridos en el cumplimiento de las obligaciones internacionales asumidas </w:t>
      </w:r>
      <w:r w:rsidR="001C0EF3" w:rsidRPr="003522C1">
        <w:rPr>
          <w:rFonts w:ascii="Arial" w:hAnsi="Arial" w:cs="Arial"/>
          <w:color w:val="000000"/>
          <w:sz w:val="24"/>
          <w:szCs w:val="24"/>
          <w:lang w:val="es-AR"/>
        </w:rPr>
        <w:t>por la República Argentina, como la defensa por</w:t>
      </w:r>
      <w:r w:rsidR="00C41882" w:rsidRPr="003522C1">
        <w:rPr>
          <w:rFonts w:ascii="Arial" w:hAnsi="Arial" w:cs="Arial"/>
          <w:color w:val="000000"/>
          <w:sz w:val="24"/>
          <w:szCs w:val="24"/>
          <w:lang w:val="es-AR"/>
        </w:rPr>
        <w:t xml:space="preserve"> la violación y protección de los DDHH </w:t>
      </w:r>
      <w:r w:rsidR="00A151A3" w:rsidRPr="003522C1">
        <w:rPr>
          <w:rFonts w:ascii="Arial" w:hAnsi="Arial" w:cs="Arial"/>
          <w:color w:val="000000"/>
          <w:sz w:val="24"/>
          <w:szCs w:val="24"/>
          <w:lang w:val="es-AR"/>
        </w:rPr>
        <w:t xml:space="preserve">en el sistema </w:t>
      </w:r>
      <w:r w:rsidR="00266C67" w:rsidRPr="003522C1">
        <w:rPr>
          <w:rFonts w:ascii="Arial" w:hAnsi="Arial" w:cs="Arial"/>
          <w:color w:val="000000"/>
          <w:sz w:val="24"/>
          <w:szCs w:val="24"/>
          <w:lang w:val="es-AR"/>
        </w:rPr>
        <w:t>interamericano</w:t>
      </w:r>
      <w:r w:rsidR="00A151A3" w:rsidRPr="003522C1">
        <w:rPr>
          <w:rFonts w:ascii="Arial" w:hAnsi="Arial" w:cs="Arial"/>
          <w:color w:val="000000"/>
          <w:sz w:val="24"/>
          <w:szCs w:val="24"/>
          <w:lang w:val="es-AR"/>
        </w:rPr>
        <w:t>, toda vez que</w:t>
      </w:r>
      <w:r w:rsidRPr="003522C1">
        <w:rPr>
          <w:rFonts w:ascii="Arial" w:hAnsi="Arial" w:cs="Arial"/>
          <w:color w:val="000000"/>
          <w:sz w:val="24"/>
          <w:szCs w:val="24"/>
          <w:lang w:val="es-AR"/>
        </w:rPr>
        <w:t xml:space="preserve"> se ha puesto en duda la obligatoriedad de las sentencias de la Corte </w:t>
      </w:r>
      <w:r w:rsidRPr="003522C1">
        <w:rPr>
          <w:rFonts w:ascii="Arial" w:hAnsi="Arial" w:cs="Arial"/>
          <w:color w:val="000000"/>
          <w:sz w:val="24"/>
          <w:szCs w:val="24"/>
          <w:lang w:val="es-AR"/>
        </w:rPr>
        <w:lastRenderedPageBreak/>
        <w:t xml:space="preserve">IDH, por el máximo </w:t>
      </w:r>
      <w:r w:rsidR="0023152D" w:rsidRPr="003522C1">
        <w:rPr>
          <w:rFonts w:ascii="Arial" w:hAnsi="Arial" w:cs="Arial"/>
          <w:color w:val="000000"/>
          <w:sz w:val="24"/>
          <w:szCs w:val="24"/>
          <w:lang w:val="es-AR"/>
        </w:rPr>
        <w:t>Tribunal</w:t>
      </w:r>
      <w:r w:rsidR="005976FA" w:rsidRPr="003522C1">
        <w:rPr>
          <w:rFonts w:ascii="Arial" w:hAnsi="Arial" w:cs="Arial"/>
          <w:color w:val="000000"/>
          <w:sz w:val="24"/>
          <w:szCs w:val="24"/>
          <w:lang w:val="es-AR"/>
        </w:rPr>
        <w:t xml:space="preserve"> A</w:t>
      </w:r>
      <w:r w:rsidRPr="003522C1">
        <w:rPr>
          <w:rFonts w:ascii="Arial" w:hAnsi="Arial" w:cs="Arial"/>
          <w:color w:val="000000"/>
          <w:sz w:val="24"/>
          <w:szCs w:val="24"/>
          <w:lang w:val="es-AR"/>
        </w:rPr>
        <w:t xml:space="preserve">rgentino, </w:t>
      </w:r>
      <w:r w:rsidR="00A151A3" w:rsidRPr="003522C1">
        <w:rPr>
          <w:rFonts w:ascii="Arial" w:hAnsi="Arial" w:cs="Arial"/>
          <w:color w:val="000000"/>
          <w:sz w:val="24"/>
          <w:szCs w:val="24"/>
          <w:lang w:val="es-AR"/>
        </w:rPr>
        <w:t xml:space="preserve"> </w:t>
      </w:r>
      <w:r w:rsidRPr="003522C1">
        <w:rPr>
          <w:rFonts w:ascii="Arial" w:hAnsi="Arial" w:cs="Arial"/>
          <w:color w:val="000000"/>
          <w:sz w:val="24"/>
          <w:szCs w:val="24"/>
          <w:lang w:val="es-AR"/>
        </w:rPr>
        <w:t>contraria</w:t>
      </w:r>
      <w:r w:rsidR="00A151A3" w:rsidRPr="003522C1">
        <w:rPr>
          <w:rFonts w:ascii="Arial" w:hAnsi="Arial" w:cs="Arial"/>
          <w:color w:val="000000"/>
          <w:sz w:val="24"/>
          <w:szCs w:val="24"/>
          <w:lang w:val="es-AR"/>
        </w:rPr>
        <w:t>ndo</w:t>
      </w:r>
      <w:r w:rsidRPr="003522C1">
        <w:rPr>
          <w:rFonts w:ascii="Arial" w:hAnsi="Arial" w:cs="Arial"/>
          <w:color w:val="000000"/>
          <w:sz w:val="24"/>
          <w:szCs w:val="24"/>
          <w:lang w:val="es-AR"/>
        </w:rPr>
        <w:t xml:space="preserve"> la conducta asumida por la misma en la jurisprudencia de la C</w:t>
      </w:r>
      <w:r w:rsidR="00A151A3" w:rsidRPr="003522C1">
        <w:rPr>
          <w:rFonts w:ascii="Arial" w:hAnsi="Arial" w:cs="Arial"/>
          <w:color w:val="000000"/>
          <w:sz w:val="24"/>
          <w:szCs w:val="24"/>
          <w:lang w:val="es-AR"/>
        </w:rPr>
        <w:t xml:space="preserve">orte </w:t>
      </w:r>
      <w:r w:rsidRPr="003522C1">
        <w:rPr>
          <w:rFonts w:ascii="Arial" w:hAnsi="Arial" w:cs="Arial"/>
          <w:color w:val="000000"/>
          <w:sz w:val="24"/>
          <w:szCs w:val="24"/>
          <w:lang w:val="es-AR"/>
        </w:rPr>
        <w:t>IDH</w:t>
      </w:r>
      <w:r w:rsidR="00275623" w:rsidRPr="003522C1">
        <w:rPr>
          <w:rFonts w:ascii="Arial" w:hAnsi="Arial" w:cs="Arial"/>
          <w:color w:val="000000"/>
          <w:sz w:val="24"/>
          <w:szCs w:val="24"/>
          <w:lang w:val="es-AR"/>
        </w:rPr>
        <w:t xml:space="preserve">, </w:t>
      </w:r>
      <w:r w:rsidRPr="003522C1">
        <w:rPr>
          <w:rFonts w:ascii="Arial" w:hAnsi="Arial" w:cs="Arial"/>
          <w:color w:val="000000"/>
          <w:sz w:val="24"/>
          <w:szCs w:val="24"/>
          <w:lang w:val="es-AR"/>
        </w:rPr>
        <w:t xml:space="preserve"> que he mencionado </w:t>
      </w:r>
      <w:r w:rsidR="00275623" w:rsidRPr="003522C1">
        <w:rPr>
          <w:rFonts w:ascii="Arial" w:hAnsi="Arial" w:cs="Arial"/>
          <w:color w:val="000000"/>
          <w:sz w:val="24"/>
          <w:szCs w:val="24"/>
          <w:lang w:val="es-AR"/>
        </w:rPr>
        <w:t>a lo largo de esta presentación</w:t>
      </w:r>
      <w:r w:rsidR="001C0EF3" w:rsidRPr="003522C1">
        <w:rPr>
          <w:rFonts w:ascii="Arial" w:hAnsi="Arial" w:cs="Arial"/>
          <w:color w:val="000000"/>
          <w:sz w:val="24"/>
          <w:szCs w:val="24"/>
          <w:lang w:val="es-AR"/>
        </w:rPr>
        <w:t>.</w:t>
      </w:r>
    </w:p>
    <w:p w:rsidR="00101D9B" w:rsidRDefault="00B33DF4" w:rsidP="00910107">
      <w:pPr>
        <w:shd w:val="clear" w:color="auto" w:fill="FFFFFF"/>
        <w:spacing w:line="360" w:lineRule="auto"/>
        <w:jc w:val="both"/>
        <w:rPr>
          <w:rStyle w:val="Textoennegrita"/>
          <w:rFonts w:ascii="Arial" w:hAnsi="Arial" w:cs="Arial"/>
          <w:b w:val="0"/>
          <w:color w:val="000000"/>
          <w:sz w:val="24"/>
          <w:szCs w:val="24"/>
        </w:rPr>
      </w:pPr>
      <w:r w:rsidRPr="003522C1">
        <w:rPr>
          <w:rStyle w:val="Textoennegrita"/>
          <w:rFonts w:ascii="Arial" w:hAnsi="Arial" w:cs="Arial"/>
          <w:b w:val="0"/>
          <w:color w:val="000000"/>
          <w:sz w:val="24"/>
          <w:szCs w:val="24"/>
        </w:rPr>
        <w:t>Es de resaltar</w:t>
      </w:r>
      <w:r w:rsidR="009655C1">
        <w:rPr>
          <w:rStyle w:val="Textoennegrita"/>
          <w:rFonts w:ascii="Arial" w:hAnsi="Arial" w:cs="Arial"/>
          <w:b w:val="0"/>
          <w:color w:val="000000"/>
          <w:sz w:val="24"/>
          <w:szCs w:val="24"/>
        </w:rPr>
        <w:t xml:space="preserve"> que  en el caso “Carranza </w:t>
      </w:r>
      <w:proofErr w:type="spellStart"/>
      <w:r w:rsidR="009655C1">
        <w:rPr>
          <w:rStyle w:val="Textoennegrita"/>
          <w:rFonts w:ascii="Arial" w:hAnsi="Arial" w:cs="Arial"/>
          <w:b w:val="0"/>
          <w:color w:val="000000"/>
          <w:sz w:val="24"/>
          <w:szCs w:val="24"/>
        </w:rPr>
        <w:t>Latru</w:t>
      </w:r>
      <w:r w:rsidRPr="003522C1">
        <w:rPr>
          <w:rStyle w:val="Textoennegrita"/>
          <w:rFonts w:ascii="Arial" w:hAnsi="Arial" w:cs="Arial"/>
          <w:b w:val="0"/>
          <w:color w:val="000000"/>
          <w:sz w:val="24"/>
          <w:szCs w:val="24"/>
        </w:rPr>
        <w:t>besse</w:t>
      </w:r>
      <w:proofErr w:type="spellEnd"/>
      <w:r w:rsidRPr="003522C1">
        <w:rPr>
          <w:rStyle w:val="Textoennegrita"/>
          <w:rFonts w:ascii="Arial" w:hAnsi="Arial" w:cs="Arial"/>
          <w:b w:val="0"/>
          <w:color w:val="000000"/>
          <w:sz w:val="24"/>
          <w:szCs w:val="24"/>
        </w:rPr>
        <w:t>”</w:t>
      </w:r>
      <w:r w:rsidR="00275623" w:rsidRPr="003522C1">
        <w:rPr>
          <w:rStyle w:val="Textoennegrita"/>
          <w:rFonts w:ascii="Arial" w:hAnsi="Arial" w:cs="Arial"/>
          <w:b w:val="0"/>
          <w:color w:val="000000"/>
          <w:sz w:val="24"/>
          <w:szCs w:val="24"/>
        </w:rPr>
        <w:t>, la CSJN reconoce</w:t>
      </w:r>
      <w:r w:rsidRPr="003522C1">
        <w:rPr>
          <w:rStyle w:val="Textoennegrita"/>
          <w:rFonts w:ascii="Arial" w:hAnsi="Arial" w:cs="Arial"/>
          <w:b w:val="0"/>
          <w:color w:val="000000"/>
          <w:sz w:val="24"/>
          <w:szCs w:val="24"/>
        </w:rPr>
        <w:t xml:space="preserve"> </w:t>
      </w:r>
      <w:r w:rsidR="00275623" w:rsidRPr="003522C1">
        <w:rPr>
          <w:rStyle w:val="Textoennegrita"/>
          <w:rFonts w:ascii="Arial" w:hAnsi="Arial" w:cs="Arial"/>
          <w:b w:val="0"/>
          <w:color w:val="000000"/>
          <w:sz w:val="24"/>
          <w:szCs w:val="24"/>
        </w:rPr>
        <w:t xml:space="preserve"> </w:t>
      </w:r>
      <w:r w:rsidRPr="003522C1">
        <w:rPr>
          <w:rStyle w:val="Textoennegrita"/>
          <w:rFonts w:ascii="Arial" w:hAnsi="Arial" w:cs="Arial"/>
          <w:b w:val="0"/>
          <w:color w:val="000000"/>
          <w:sz w:val="24"/>
          <w:szCs w:val="24"/>
        </w:rPr>
        <w:t xml:space="preserve"> la obligatoriedad de los informes de fondo de la Comisión Interamericana valorizando de esta forma el Sistema Interamericano de Derechos Humanos y donde expresó que “si un Estado suscribe y ratifica un tratado internacional, especialmente si se trata de Derechos Humanos, como es el caso de la Convención Americana, tiene la obligación de realizar sus mejores esfuerzos para aplicar las recomendaciones de un órgano de protección como lo es la Comisión”.</w:t>
      </w:r>
      <w:r w:rsidR="001C0EF3" w:rsidRPr="003522C1">
        <w:rPr>
          <w:rStyle w:val="Textoennegrita"/>
          <w:rFonts w:ascii="Arial" w:hAnsi="Arial" w:cs="Arial"/>
          <w:b w:val="0"/>
          <w:color w:val="000000"/>
          <w:sz w:val="24"/>
          <w:szCs w:val="24"/>
        </w:rPr>
        <w:t xml:space="preserve"> </w:t>
      </w:r>
      <w:r w:rsidR="00ED2A00">
        <w:rPr>
          <w:rStyle w:val="Textoennegrita"/>
          <w:rFonts w:ascii="Arial" w:hAnsi="Arial" w:cs="Arial"/>
          <w:b w:val="0"/>
          <w:color w:val="000000"/>
          <w:sz w:val="24"/>
          <w:szCs w:val="24"/>
        </w:rPr>
        <w:t>Por otro lado l</w:t>
      </w:r>
      <w:r w:rsidR="0069337E" w:rsidRPr="003522C1">
        <w:rPr>
          <w:rStyle w:val="Textoennegrita"/>
          <w:rFonts w:ascii="Arial" w:hAnsi="Arial" w:cs="Arial"/>
          <w:b w:val="0"/>
          <w:color w:val="000000"/>
          <w:sz w:val="24"/>
          <w:szCs w:val="24"/>
        </w:rPr>
        <w:t xml:space="preserve">a CSJN también </w:t>
      </w:r>
      <w:proofErr w:type="gramStart"/>
      <w:r w:rsidR="0069337E" w:rsidRPr="00ED2A00">
        <w:rPr>
          <w:rStyle w:val="Textoennegrita"/>
          <w:rFonts w:ascii="Arial" w:hAnsi="Arial" w:cs="Arial"/>
          <w:b w:val="0"/>
          <w:color w:val="000000"/>
          <w:sz w:val="24"/>
          <w:szCs w:val="24"/>
        </w:rPr>
        <w:t xml:space="preserve">dijo </w:t>
      </w:r>
      <w:r w:rsidR="00ED2A00" w:rsidRPr="00ED2A00">
        <w:rPr>
          <w:rFonts w:ascii="Courier New" w:eastAsia="Times New Roman" w:hAnsi="Courier New" w:cs="Courier New"/>
          <w:sz w:val="20"/>
          <w:szCs w:val="20"/>
          <w:lang w:val="es-AR" w:eastAsia="es-AR"/>
        </w:rPr>
        <w:t xml:space="preserve"> </w:t>
      </w:r>
      <w:r w:rsidR="00ED2A00">
        <w:rPr>
          <w:rStyle w:val="Textoennegrita"/>
          <w:rFonts w:ascii="Arial" w:hAnsi="Arial" w:cs="Arial"/>
          <w:b w:val="0"/>
          <w:color w:val="000000"/>
          <w:sz w:val="24"/>
          <w:szCs w:val="24"/>
        </w:rPr>
        <w:t>en</w:t>
      </w:r>
      <w:proofErr w:type="gramEnd"/>
      <w:r w:rsidR="00ED2A00">
        <w:rPr>
          <w:rStyle w:val="Textoennegrita"/>
          <w:rFonts w:ascii="Arial" w:hAnsi="Arial" w:cs="Arial"/>
          <w:b w:val="0"/>
          <w:color w:val="000000"/>
          <w:sz w:val="24"/>
          <w:szCs w:val="24"/>
        </w:rPr>
        <w:t xml:space="preserve"> “Derecho, René Jesús s/ Inc. de Prescripción de la Acción P</w:t>
      </w:r>
      <w:r w:rsidR="00ED2A00" w:rsidRPr="00ED2A00">
        <w:rPr>
          <w:rStyle w:val="Textoennegrita"/>
          <w:rFonts w:ascii="Arial" w:hAnsi="Arial" w:cs="Arial"/>
          <w:b w:val="0"/>
          <w:color w:val="000000"/>
          <w:sz w:val="24"/>
          <w:szCs w:val="24"/>
        </w:rPr>
        <w:t>enal, sentencia del 29/11/2011 (D. 1682. XL)</w:t>
      </w:r>
      <w:r w:rsidR="00910107">
        <w:rPr>
          <w:rStyle w:val="Textoennegrita"/>
          <w:rFonts w:ascii="Arial" w:hAnsi="Arial" w:cs="Arial"/>
          <w:b w:val="0"/>
          <w:color w:val="000000"/>
          <w:sz w:val="24"/>
          <w:szCs w:val="24"/>
        </w:rPr>
        <w:t>”</w:t>
      </w:r>
      <w:r w:rsidR="00910107">
        <w:rPr>
          <w:rStyle w:val="Textoennegrita"/>
          <w:rFonts w:ascii="Arial" w:hAnsi="Arial" w:cs="Arial"/>
          <w:color w:val="000000"/>
          <w:sz w:val="24"/>
          <w:szCs w:val="24"/>
        </w:rPr>
        <w:t>, “…</w:t>
      </w:r>
      <w:r w:rsidR="0069337E" w:rsidRPr="00ED2A00">
        <w:rPr>
          <w:rStyle w:val="nfasis"/>
          <w:rFonts w:ascii="Arial" w:hAnsi="Arial" w:cs="Arial"/>
          <w:bCs/>
          <w:i w:val="0"/>
          <w:color w:val="000000"/>
          <w:sz w:val="24"/>
          <w:szCs w:val="24"/>
        </w:rPr>
        <w:t>con el objeto de dar estricto cumplimiento a lo ordenado por la Corte Inte</w:t>
      </w:r>
      <w:r w:rsidR="00ED2A00">
        <w:rPr>
          <w:rStyle w:val="nfasis"/>
          <w:rFonts w:ascii="Arial" w:hAnsi="Arial" w:cs="Arial"/>
          <w:bCs/>
          <w:i w:val="0"/>
          <w:color w:val="000000"/>
          <w:sz w:val="24"/>
          <w:szCs w:val="24"/>
        </w:rPr>
        <w:t xml:space="preserve">ramericana de Derechos Humanos, </w:t>
      </w:r>
      <w:r w:rsidR="0069337E" w:rsidRPr="00ED2A00">
        <w:rPr>
          <w:rStyle w:val="nfasis"/>
          <w:rFonts w:ascii="Arial" w:hAnsi="Arial" w:cs="Arial"/>
          <w:bCs/>
          <w:i w:val="0"/>
          <w:color w:val="000000"/>
          <w:sz w:val="24"/>
          <w:szCs w:val="24"/>
        </w:rPr>
        <w:t>en la senten</w:t>
      </w:r>
      <w:r w:rsidR="00910107">
        <w:rPr>
          <w:rStyle w:val="nfasis"/>
          <w:rFonts w:ascii="Arial" w:hAnsi="Arial" w:cs="Arial"/>
          <w:bCs/>
          <w:i w:val="0"/>
          <w:color w:val="000000"/>
          <w:sz w:val="24"/>
          <w:szCs w:val="24"/>
        </w:rPr>
        <w:t>cia “Bueno Alves vs. Argentina</w:t>
      </w:r>
      <w:proofErr w:type="gramStart"/>
      <w:r w:rsidR="00910107">
        <w:rPr>
          <w:rStyle w:val="nfasis"/>
          <w:rFonts w:ascii="Arial" w:hAnsi="Arial" w:cs="Arial"/>
          <w:bCs/>
          <w:i w:val="0"/>
          <w:color w:val="000000"/>
          <w:sz w:val="24"/>
          <w:szCs w:val="24"/>
        </w:rPr>
        <w:t xml:space="preserve">”, </w:t>
      </w:r>
      <w:r w:rsidR="0069337E" w:rsidRPr="00ED2A00">
        <w:rPr>
          <w:rStyle w:val="nfasis"/>
          <w:rFonts w:ascii="Arial" w:hAnsi="Arial" w:cs="Arial"/>
          <w:bCs/>
          <w:i w:val="0"/>
          <w:color w:val="000000"/>
          <w:sz w:val="24"/>
          <w:szCs w:val="24"/>
        </w:rPr>
        <w:t xml:space="preserve"> corresponde</w:t>
      </w:r>
      <w:proofErr w:type="gramEnd"/>
      <w:r w:rsidR="0069337E" w:rsidRPr="00ED2A00">
        <w:rPr>
          <w:rStyle w:val="nfasis"/>
          <w:rFonts w:ascii="Arial" w:hAnsi="Arial" w:cs="Arial"/>
          <w:bCs/>
          <w:i w:val="0"/>
          <w:color w:val="000000"/>
          <w:sz w:val="24"/>
          <w:szCs w:val="24"/>
        </w:rPr>
        <w:t xml:space="preserve"> hacer lugar al recurso de revocatoria articulado, dejar sin</w:t>
      </w:r>
      <w:r w:rsidR="0069337E" w:rsidRPr="003522C1">
        <w:rPr>
          <w:rStyle w:val="nfasis"/>
          <w:rFonts w:ascii="Arial" w:hAnsi="Arial" w:cs="Arial"/>
          <w:b/>
          <w:bCs/>
          <w:i w:val="0"/>
          <w:color w:val="000000"/>
          <w:sz w:val="24"/>
          <w:szCs w:val="24"/>
        </w:rPr>
        <w:t xml:space="preserve"> </w:t>
      </w:r>
      <w:r w:rsidR="0069337E" w:rsidRPr="00ED2A00">
        <w:rPr>
          <w:rStyle w:val="nfasis"/>
          <w:rFonts w:ascii="Arial" w:hAnsi="Arial" w:cs="Arial"/>
          <w:bCs/>
          <w:i w:val="0"/>
          <w:color w:val="000000"/>
          <w:sz w:val="24"/>
          <w:szCs w:val="24"/>
        </w:rPr>
        <w:t>efecto el pronunciamiento apelado y devolver las actuaciones a la instancia anterior para que, por quien corresponda, se cumplimenten las pautas fijadas en dicho fallo</w:t>
      </w:r>
      <w:r w:rsidR="0069337E" w:rsidRPr="00ED2A00">
        <w:rPr>
          <w:rStyle w:val="Textoennegrita"/>
          <w:rFonts w:ascii="Arial" w:hAnsi="Arial" w:cs="Arial"/>
          <w:color w:val="000000"/>
          <w:sz w:val="24"/>
          <w:szCs w:val="24"/>
        </w:rPr>
        <w:t xml:space="preserve">” </w:t>
      </w:r>
      <w:r w:rsidR="00ED2A00">
        <w:rPr>
          <w:rStyle w:val="Textoennegrita"/>
          <w:rFonts w:ascii="Arial" w:hAnsi="Arial" w:cs="Arial"/>
          <w:color w:val="000000"/>
          <w:sz w:val="24"/>
          <w:szCs w:val="24"/>
        </w:rPr>
        <w:t xml:space="preserve">, </w:t>
      </w:r>
      <w:r w:rsidR="00ED2A00" w:rsidRPr="00ED2A00">
        <w:rPr>
          <w:rStyle w:val="Textoennegrita"/>
          <w:rFonts w:ascii="Arial" w:hAnsi="Arial" w:cs="Arial"/>
          <w:b w:val="0"/>
          <w:color w:val="000000"/>
          <w:sz w:val="24"/>
          <w:szCs w:val="24"/>
        </w:rPr>
        <w:t>por lo que no se entiende porque en este caso adopta una postura</w:t>
      </w:r>
      <w:r w:rsidR="00C9386B">
        <w:rPr>
          <w:rStyle w:val="Textoennegrita"/>
          <w:rFonts w:ascii="Arial" w:hAnsi="Arial" w:cs="Arial"/>
          <w:b w:val="0"/>
          <w:color w:val="000000"/>
          <w:sz w:val="24"/>
          <w:szCs w:val="24"/>
        </w:rPr>
        <w:t xml:space="preserve"> totalmente</w:t>
      </w:r>
      <w:r w:rsidR="00ED2A00" w:rsidRPr="00ED2A00">
        <w:rPr>
          <w:rStyle w:val="Textoennegrita"/>
          <w:rFonts w:ascii="Arial" w:hAnsi="Arial" w:cs="Arial"/>
          <w:b w:val="0"/>
          <w:color w:val="000000"/>
          <w:sz w:val="24"/>
          <w:szCs w:val="24"/>
        </w:rPr>
        <w:t xml:space="preserve"> diferente.</w:t>
      </w:r>
      <w:r w:rsidR="00101D9B">
        <w:rPr>
          <w:rStyle w:val="Textoennegrita"/>
          <w:rFonts w:ascii="Arial" w:hAnsi="Arial" w:cs="Arial"/>
          <w:b w:val="0"/>
          <w:color w:val="000000"/>
          <w:sz w:val="24"/>
          <w:szCs w:val="24"/>
        </w:rPr>
        <w:t xml:space="preserve"> </w:t>
      </w:r>
    </w:p>
    <w:p w:rsidR="008A231F" w:rsidRPr="00EA2CFF" w:rsidRDefault="008A231F" w:rsidP="00910107">
      <w:pPr>
        <w:shd w:val="clear" w:color="auto" w:fill="FFFFFF"/>
        <w:spacing w:line="360" w:lineRule="auto"/>
        <w:jc w:val="both"/>
        <w:rPr>
          <w:rStyle w:val="Textoennegrita"/>
          <w:rFonts w:ascii="Arial" w:hAnsi="Arial" w:cs="Arial"/>
          <w:b w:val="0"/>
          <w:color w:val="000000"/>
          <w:sz w:val="24"/>
          <w:szCs w:val="24"/>
        </w:rPr>
      </w:pPr>
      <w:r w:rsidRPr="00EA2CFF">
        <w:rPr>
          <w:rStyle w:val="Textoennegrita"/>
          <w:rFonts w:ascii="Arial" w:hAnsi="Arial" w:cs="Arial"/>
          <w:b w:val="0"/>
          <w:color w:val="000000"/>
          <w:sz w:val="24"/>
          <w:szCs w:val="24"/>
        </w:rPr>
        <w:t xml:space="preserve">Tampoco se puede considerar en el caso comentado, que la Corte de San José, se haya convertido en una “cuarta instancia” que revise o anule decisiones jurisdiccionales estatales, cuando la misma tiene competencia </w:t>
      </w:r>
      <w:proofErr w:type="gramStart"/>
      <w:r w:rsidRPr="00EA2CFF">
        <w:rPr>
          <w:rStyle w:val="Textoennegrita"/>
          <w:rFonts w:ascii="Arial" w:hAnsi="Arial" w:cs="Arial"/>
          <w:b w:val="0"/>
          <w:color w:val="000000"/>
          <w:sz w:val="24"/>
          <w:szCs w:val="24"/>
        </w:rPr>
        <w:t>contenciosa  por</w:t>
      </w:r>
      <w:proofErr w:type="gramEnd"/>
      <w:r w:rsidRPr="00EA2CFF">
        <w:rPr>
          <w:rStyle w:val="Textoennegrita"/>
          <w:rFonts w:ascii="Arial" w:hAnsi="Arial" w:cs="Arial"/>
          <w:b w:val="0"/>
          <w:color w:val="000000"/>
          <w:sz w:val="24"/>
          <w:szCs w:val="24"/>
        </w:rPr>
        <w:t xml:space="preserve"> el caso sometido a su jurisdicción.</w:t>
      </w:r>
    </w:p>
    <w:p w:rsidR="00ED2A00" w:rsidRPr="00EA2CFF" w:rsidRDefault="00AB1472" w:rsidP="00910107">
      <w:pPr>
        <w:shd w:val="clear" w:color="auto" w:fill="FFFFFF"/>
        <w:spacing w:line="360" w:lineRule="auto"/>
        <w:jc w:val="both"/>
        <w:rPr>
          <w:rStyle w:val="Textoennegrita"/>
          <w:rFonts w:ascii="Arial" w:hAnsi="Arial" w:cs="Arial"/>
          <w:b w:val="0"/>
          <w:color w:val="000000"/>
          <w:sz w:val="24"/>
          <w:szCs w:val="24"/>
        </w:rPr>
      </w:pPr>
      <w:r w:rsidRPr="00EA2CFF">
        <w:rPr>
          <w:rStyle w:val="Textoennegrita"/>
          <w:rFonts w:ascii="Arial" w:hAnsi="Arial" w:cs="Arial"/>
          <w:b w:val="0"/>
          <w:color w:val="000000"/>
          <w:sz w:val="24"/>
          <w:szCs w:val="24"/>
        </w:rPr>
        <w:t>No se puede obviar que es la Corte IDH-quien  determina el alcance de su propia competencia</w:t>
      </w:r>
      <w:r w:rsidR="00562454" w:rsidRPr="00EA2CFF">
        <w:rPr>
          <w:rStyle w:val="Textoennegrita"/>
          <w:rFonts w:ascii="Arial" w:hAnsi="Arial" w:cs="Arial"/>
          <w:b w:val="0"/>
          <w:color w:val="000000"/>
          <w:sz w:val="24"/>
          <w:szCs w:val="24"/>
        </w:rPr>
        <w:t xml:space="preserve"> (art.62 CADH)</w:t>
      </w:r>
      <w:r w:rsidRPr="00EA2CFF">
        <w:rPr>
          <w:rStyle w:val="Textoennegrita"/>
          <w:rFonts w:ascii="Arial" w:hAnsi="Arial" w:cs="Arial"/>
          <w:b w:val="0"/>
          <w:color w:val="000000"/>
          <w:sz w:val="24"/>
          <w:szCs w:val="24"/>
        </w:rPr>
        <w:t xml:space="preserve"> y es de resaltar que en el caso analizado no hubo cuestión preliminar al respecto, por lo que no puede el máximo Tribunal Argentino, incumplir el fallo de la Corte IDH</w:t>
      </w:r>
      <w:r w:rsidR="00F1328A" w:rsidRPr="00EA2CFF">
        <w:rPr>
          <w:rStyle w:val="Textoennegrita"/>
          <w:rFonts w:ascii="Arial" w:hAnsi="Arial" w:cs="Arial"/>
          <w:b w:val="0"/>
          <w:color w:val="000000"/>
          <w:sz w:val="24"/>
          <w:szCs w:val="24"/>
        </w:rPr>
        <w:t xml:space="preserve">, argumentando que el </w:t>
      </w:r>
      <w:r w:rsidR="00F1328A" w:rsidRPr="00EA2CFF">
        <w:rPr>
          <w:rStyle w:val="Textoennegrita"/>
          <w:rFonts w:ascii="Arial" w:hAnsi="Arial" w:cs="Arial"/>
          <w:b w:val="0"/>
          <w:color w:val="000000"/>
          <w:sz w:val="24"/>
          <w:szCs w:val="24"/>
        </w:rPr>
        <w:lastRenderedPageBreak/>
        <w:t>Tribunal Internacional no tiene competencia para ordenarle que se deje sin efect</w:t>
      </w:r>
      <w:r w:rsidR="00ED2A00" w:rsidRPr="00EA2CFF">
        <w:rPr>
          <w:rStyle w:val="Textoennegrita"/>
          <w:rFonts w:ascii="Arial" w:hAnsi="Arial" w:cs="Arial"/>
          <w:b w:val="0"/>
          <w:color w:val="000000"/>
          <w:sz w:val="24"/>
          <w:szCs w:val="24"/>
        </w:rPr>
        <w:t xml:space="preserve">o la sentencia por ella dictada, </w:t>
      </w:r>
      <w:r w:rsidR="008B4FA8" w:rsidRPr="00EA2CFF">
        <w:rPr>
          <w:rStyle w:val="Textoennegrita"/>
          <w:rFonts w:ascii="Arial" w:hAnsi="Arial" w:cs="Arial"/>
          <w:b w:val="0"/>
          <w:color w:val="000000"/>
          <w:sz w:val="24"/>
          <w:szCs w:val="24"/>
        </w:rPr>
        <w:t xml:space="preserve">como </w:t>
      </w:r>
      <w:r w:rsidR="00ED2A00" w:rsidRPr="00EA2CFF">
        <w:rPr>
          <w:rStyle w:val="Textoennegrita"/>
          <w:rFonts w:ascii="Arial" w:hAnsi="Arial" w:cs="Arial"/>
          <w:b w:val="0"/>
          <w:color w:val="000000"/>
          <w:sz w:val="24"/>
          <w:szCs w:val="24"/>
        </w:rPr>
        <w:t>así</w:t>
      </w:r>
      <w:r w:rsidR="008B4FA8" w:rsidRPr="00EA2CFF">
        <w:rPr>
          <w:rStyle w:val="Textoennegrita"/>
          <w:rFonts w:ascii="Arial" w:hAnsi="Arial" w:cs="Arial"/>
          <w:b w:val="0"/>
          <w:color w:val="000000"/>
          <w:sz w:val="24"/>
          <w:szCs w:val="24"/>
        </w:rPr>
        <w:t xml:space="preserve"> también r</w:t>
      </w:r>
      <w:r w:rsidR="009655C1" w:rsidRPr="00EA2CFF">
        <w:rPr>
          <w:rStyle w:val="Textoennegrita"/>
          <w:rFonts w:ascii="Arial" w:hAnsi="Arial" w:cs="Arial"/>
          <w:b w:val="0"/>
          <w:color w:val="000000"/>
          <w:sz w:val="24"/>
          <w:szCs w:val="24"/>
        </w:rPr>
        <w:t>ecurrir al mecanismo de la “cosa Juzgada”</w:t>
      </w:r>
      <w:r w:rsidR="008B4FA8" w:rsidRPr="00EA2CFF">
        <w:rPr>
          <w:rStyle w:val="Textoennegrita"/>
          <w:rFonts w:ascii="Arial" w:hAnsi="Arial" w:cs="Arial"/>
          <w:b w:val="0"/>
          <w:color w:val="000000"/>
          <w:sz w:val="24"/>
          <w:szCs w:val="24"/>
        </w:rPr>
        <w:t xml:space="preserve">  que</w:t>
      </w:r>
      <w:r w:rsidR="009655C1" w:rsidRPr="00EA2CFF">
        <w:rPr>
          <w:rStyle w:val="Textoennegrita"/>
          <w:rFonts w:ascii="Arial" w:hAnsi="Arial" w:cs="Arial"/>
          <w:b w:val="0"/>
          <w:color w:val="000000"/>
          <w:sz w:val="24"/>
          <w:szCs w:val="24"/>
        </w:rPr>
        <w:t xml:space="preserve"> es una clara regresión en materia de protección de los derechos humanos</w:t>
      </w:r>
      <w:r w:rsidR="008B4FA8" w:rsidRPr="00EA2CFF">
        <w:rPr>
          <w:rStyle w:val="Textoennegrita"/>
          <w:rFonts w:ascii="Arial" w:hAnsi="Arial" w:cs="Arial"/>
          <w:b w:val="0"/>
          <w:color w:val="000000"/>
          <w:sz w:val="24"/>
          <w:szCs w:val="24"/>
        </w:rPr>
        <w:t xml:space="preserve"> que va en contra de la propia jurisprudencia de la CSJN</w:t>
      </w:r>
      <w:r w:rsidR="00ED2A00" w:rsidRPr="00EA2CFF">
        <w:rPr>
          <w:rStyle w:val="Textoennegrita"/>
          <w:rFonts w:ascii="Arial" w:hAnsi="Arial" w:cs="Arial"/>
          <w:b w:val="0"/>
          <w:color w:val="000000"/>
          <w:sz w:val="24"/>
          <w:szCs w:val="24"/>
        </w:rPr>
        <w:t xml:space="preserve">. </w:t>
      </w:r>
    </w:p>
    <w:p w:rsidR="00910107" w:rsidRDefault="00266C67" w:rsidP="00910107">
      <w:pPr>
        <w:shd w:val="clear" w:color="auto" w:fill="FFFFFF"/>
        <w:spacing w:line="360" w:lineRule="auto"/>
        <w:jc w:val="both"/>
        <w:rPr>
          <w:rStyle w:val="Textoennegrita"/>
          <w:rFonts w:ascii="Arial" w:hAnsi="Arial" w:cs="Arial"/>
          <w:b w:val="0"/>
          <w:color w:val="000000"/>
          <w:sz w:val="24"/>
          <w:szCs w:val="24"/>
        </w:rPr>
      </w:pPr>
      <w:r w:rsidRPr="00EA2CFF">
        <w:rPr>
          <w:rStyle w:val="Textoennegrita"/>
          <w:rFonts w:ascii="Arial" w:hAnsi="Arial" w:cs="Arial"/>
          <w:b w:val="0"/>
          <w:color w:val="000000"/>
          <w:sz w:val="24"/>
          <w:szCs w:val="24"/>
        </w:rPr>
        <w:t xml:space="preserve">Estamos transitando el siglo XXI, vivimos </w:t>
      </w:r>
      <w:proofErr w:type="gramStart"/>
      <w:r w:rsidRPr="00EA2CFF">
        <w:rPr>
          <w:rStyle w:val="Textoennegrita"/>
          <w:rFonts w:ascii="Arial" w:hAnsi="Arial" w:cs="Arial"/>
          <w:b w:val="0"/>
          <w:color w:val="000000"/>
          <w:sz w:val="24"/>
          <w:szCs w:val="24"/>
        </w:rPr>
        <w:t>en  un</w:t>
      </w:r>
      <w:proofErr w:type="gramEnd"/>
      <w:r w:rsidRPr="00EA2CFF">
        <w:rPr>
          <w:rStyle w:val="Textoennegrita"/>
          <w:rFonts w:ascii="Arial" w:hAnsi="Arial" w:cs="Arial"/>
          <w:b w:val="0"/>
          <w:color w:val="000000"/>
          <w:sz w:val="24"/>
          <w:szCs w:val="24"/>
        </w:rPr>
        <w:t xml:space="preserve"> mundo globalizado en permanente cambio, donde la concepción</w:t>
      </w:r>
      <w:r w:rsidR="004E06C3" w:rsidRPr="00EA2CFF">
        <w:rPr>
          <w:rStyle w:val="Textoennegrita"/>
          <w:rFonts w:ascii="Arial" w:hAnsi="Arial" w:cs="Arial"/>
          <w:b w:val="0"/>
          <w:color w:val="000000"/>
          <w:sz w:val="24"/>
          <w:szCs w:val="24"/>
        </w:rPr>
        <w:t xml:space="preserve"> e interpretación </w:t>
      </w:r>
      <w:r w:rsidRPr="00EA2CFF">
        <w:rPr>
          <w:rStyle w:val="Textoennegrita"/>
          <w:rFonts w:ascii="Arial" w:hAnsi="Arial" w:cs="Arial"/>
          <w:b w:val="0"/>
          <w:color w:val="000000"/>
          <w:sz w:val="24"/>
          <w:szCs w:val="24"/>
        </w:rPr>
        <w:t>del derecho no puede realizarse de manera estática sino dinámica</w:t>
      </w:r>
      <w:r w:rsidR="001C0EF3" w:rsidRPr="00EA2CFF">
        <w:rPr>
          <w:rStyle w:val="Textoennegrita"/>
          <w:rFonts w:ascii="Arial" w:hAnsi="Arial" w:cs="Arial"/>
          <w:color w:val="000000"/>
          <w:sz w:val="24"/>
          <w:szCs w:val="24"/>
        </w:rPr>
        <w:t xml:space="preserve">, </w:t>
      </w:r>
      <w:r w:rsidR="001C0EF3" w:rsidRPr="00EA2CFF">
        <w:rPr>
          <w:rStyle w:val="Textoennegrita"/>
          <w:rFonts w:ascii="Arial" w:hAnsi="Arial" w:cs="Arial"/>
          <w:b w:val="0"/>
          <w:color w:val="000000"/>
          <w:sz w:val="24"/>
          <w:szCs w:val="24"/>
        </w:rPr>
        <w:t>muestra de ello es la universalización de los derechos humanos y la existencia de tribunales supranacionales, donde las personas acuden para proteger la violación a sus derechos por parte de los Estados. En este caso la CSJN recurre a una interpretación estática del derecho que no es compatible con</w:t>
      </w:r>
      <w:r w:rsidR="008A231F" w:rsidRPr="00EA2CFF">
        <w:rPr>
          <w:rStyle w:val="Textoennegrita"/>
          <w:rFonts w:ascii="Arial" w:hAnsi="Arial" w:cs="Arial"/>
          <w:b w:val="0"/>
          <w:color w:val="000000"/>
          <w:sz w:val="24"/>
          <w:szCs w:val="24"/>
        </w:rPr>
        <w:t xml:space="preserve"> los principios “pro omine y de progresión” que rigen la protección</w:t>
      </w:r>
      <w:r w:rsidR="00ED2A00" w:rsidRPr="00EA2CFF">
        <w:rPr>
          <w:rStyle w:val="Textoennegrita"/>
          <w:rFonts w:ascii="Arial" w:hAnsi="Arial" w:cs="Arial"/>
          <w:b w:val="0"/>
          <w:color w:val="000000"/>
          <w:sz w:val="24"/>
          <w:szCs w:val="24"/>
        </w:rPr>
        <w:t xml:space="preserve"> de</w:t>
      </w:r>
      <w:r w:rsidR="001C0EF3" w:rsidRPr="00EA2CFF">
        <w:rPr>
          <w:rStyle w:val="Textoennegrita"/>
          <w:rFonts w:ascii="Arial" w:hAnsi="Arial" w:cs="Arial"/>
          <w:b w:val="0"/>
          <w:color w:val="000000"/>
          <w:sz w:val="24"/>
          <w:szCs w:val="24"/>
        </w:rPr>
        <w:t xml:space="preserve"> los</w:t>
      </w:r>
      <w:r w:rsidR="001C0EF3" w:rsidRPr="00EA2CFF">
        <w:rPr>
          <w:rStyle w:val="Textoennegrita"/>
          <w:rFonts w:ascii="Arial" w:hAnsi="Arial" w:cs="Arial"/>
          <w:color w:val="000000"/>
          <w:sz w:val="24"/>
          <w:szCs w:val="24"/>
        </w:rPr>
        <w:t xml:space="preserve"> </w:t>
      </w:r>
      <w:r w:rsidR="001C0EF3" w:rsidRPr="00EA2CFF">
        <w:rPr>
          <w:rStyle w:val="Textoennegrita"/>
          <w:rFonts w:ascii="Arial" w:hAnsi="Arial" w:cs="Arial"/>
          <w:b w:val="0"/>
          <w:color w:val="000000"/>
          <w:sz w:val="24"/>
          <w:szCs w:val="24"/>
        </w:rPr>
        <w:t>DDHH</w:t>
      </w:r>
      <w:r w:rsidR="00CB66B6" w:rsidRPr="00EA2CFF">
        <w:rPr>
          <w:rStyle w:val="Textoennegrita"/>
          <w:rFonts w:ascii="Arial" w:hAnsi="Arial" w:cs="Arial"/>
          <w:b w:val="0"/>
          <w:color w:val="000000"/>
          <w:sz w:val="24"/>
          <w:szCs w:val="24"/>
        </w:rPr>
        <w:t>.</w:t>
      </w:r>
    </w:p>
    <w:p w:rsidR="00F03C00" w:rsidRPr="00910107" w:rsidRDefault="00F03C00" w:rsidP="00910107">
      <w:pPr>
        <w:shd w:val="clear" w:color="auto" w:fill="FFFFFF"/>
        <w:spacing w:line="360" w:lineRule="auto"/>
        <w:jc w:val="both"/>
        <w:rPr>
          <w:rFonts w:ascii="Arial" w:hAnsi="Arial" w:cs="Arial"/>
          <w:bCs/>
          <w:color w:val="000000"/>
          <w:sz w:val="24"/>
          <w:szCs w:val="24"/>
        </w:rPr>
      </w:pPr>
      <w:r w:rsidRPr="00910107">
        <w:rPr>
          <w:rFonts w:ascii="Arial" w:hAnsi="Arial" w:cs="Arial"/>
          <w:color w:val="000000"/>
          <w:sz w:val="24"/>
          <w:szCs w:val="24"/>
        </w:rPr>
        <w:t xml:space="preserve">Se puede decir que en una disputa de </w:t>
      </w:r>
      <w:r w:rsidR="00CB66B6" w:rsidRPr="00910107">
        <w:rPr>
          <w:rFonts w:ascii="Arial" w:hAnsi="Arial" w:cs="Arial"/>
          <w:color w:val="000000"/>
          <w:sz w:val="24"/>
          <w:szCs w:val="24"/>
        </w:rPr>
        <w:t>intérpretes</w:t>
      </w:r>
      <w:r w:rsidRPr="00910107">
        <w:rPr>
          <w:rFonts w:ascii="Arial" w:hAnsi="Arial" w:cs="Arial"/>
          <w:color w:val="000000"/>
          <w:sz w:val="24"/>
          <w:szCs w:val="24"/>
        </w:rPr>
        <w:t xml:space="preserve"> finales, </w:t>
      </w:r>
      <w:r w:rsidR="00A151A3" w:rsidRPr="00910107">
        <w:rPr>
          <w:rFonts w:ascii="Arial" w:hAnsi="Arial" w:cs="Arial"/>
          <w:color w:val="000000"/>
          <w:sz w:val="24"/>
          <w:szCs w:val="24"/>
        </w:rPr>
        <w:t xml:space="preserve">al derecho a la </w:t>
      </w:r>
      <w:r w:rsidR="0023152D" w:rsidRPr="00910107">
        <w:rPr>
          <w:rFonts w:ascii="Arial" w:hAnsi="Arial" w:cs="Arial"/>
          <w:color w:val="000000"/>
          <w:sz w:val="24"/>
          <w:szCs w:val="24"/>
        </w:rPr>
        <w:t>última</w:t>
      </w:r>
      <w:r w:rsidR="00A151A3" w:rsidRPr="00910107">
        <w:rPr>
          <w:rFonts w:ascii="Arial" w:hAnsi="Arial" w:cs="Arial"/>
          <w:color w:val="000000"/>
          <w:sz w:val="24"/>
          <w:szCs w:val="24"/>
        </w:rPr>
        <w:t xml:space="preserve"> palabra se pone en jaque la protección supranacional de los derechos humanos de los ciudadanos argentinos, </w:t>
      </w:r>
      <w:proofErr w:type="gramStart"/>
      <w:r w:rsidR="0023152D" w:rsidRPr="00910107">
        <w:rPr>
          <w:rFonts w:ascii="Arial" w:hAnsi="Arial" w:cs="Arial"/>
          <w:color w:val="000000"/>
          <w:sz w:val="24"/>
          <w:szCs w:val="24"/>
        </w:rPr>
        <w:t>arrogándose</w:t>
      </w:r>
      <w:r w:rsidR="009655C1" w:rsidRPr="00910107">
        <w:rPr>
          <w:rFonts w:ascii="Arial" w:hAnsi="Arial" w:cs="Arial"/>
          <w:color w:val="000000"/>
          <w:sz w:val="24"/>
          <w:szCs w:val="24"/>
        </w:rPr>
        <w:t xml:space="preserve"> </w:t>
      </w:r>
      <w:r w:rsidR="00A151A3" w:rsidRPr="00910107">
        <w:rPr>
          <w:rFonts w:ascii="Arial" w:hAnsi="Arial" w:cs="Arial"/>
          <w:color w:val="000000"/>
          <w:sz w:val="24"/>
          <w:szCs w:val="24"/>
        </w:rPr>
        <w:t xml:space="preserve"> la</w:t>
      </w:r>
      <w:proofErr w:type="gramEnd"/>
      <w:r w:rsidR="00A151A3" w:rsidRPr="00910107">
        <w:rPr>
          <w:rFonts w:ascii="Arial" w:hAnsi="Arial" w:cs="Arial"/>
          <w:color w:val="000000"/>
          <w:sz w:val="24"/>
          <w:szCs w:val="24"/>
        </w:rPr>
        <w:t xml:space="preserve"> Corte Suprema</w:t>
      </w:r>
      <w:r w:rsidR="004E06C3" w:rsidRPr="00910107">
        <w:rPr>
          <w:rFonts w:ascii="Arial" w:hAnsi="Arial" w:cs="Arial"/>
          <w:color w:val="000000"/>
          <w:sz w:val="24"/>
          <w:szCs w:val="24"/>
        </w:rPr>
        <w:t xml:space="preserve"> Nacional</w:t>
      </w:r>
      <w:r w:rsidR="00A151A3" w:rsidRPr="00910107">
        <w:rPr>
          <w:rFonts w:ascii="Arial" w:hAnsi="Arial" w:cs="Arial"/>
          <w:color w:val="000000"/>
          <w:sz w:val="24"/>
          <w:szCs w:val="24"/>
        </w:rPr>
        <w:t xml:space="preserve"> el derecho </w:t>
      </w:r>
      <w:r w:rsidR="004E06C3" w:rsidRPr="00910107">
        <w:rPr>
          <w:rFonts w:ascii="Arial" w:hAnsi="Arial" w:cs="Arial"/>
          <w:color w:val="000000"/>
          <w:sz w:val="24"/>
          <w:szCs w:val="24"/>
        </w:rPr>
        <w:t>a la última palabra</w:t>
      </w:r>
      <w:r w:rsidR="009655C1" w:rsidRPr="00910107">
        <w:rPr>
          <w:rFonts w:ascii="Arial" w:hAnsi="Arial" w:cs="Arial"/>
          <w:color w:val="000000"/>
          <w:sz w:val="24"/>
          <w:szCs w:val="24"/>
        </w:rPr>
        <w:t xml:space="preserve"> en el caso analizado.</w:t>
      </w:r>
    </w:p>
    <w:p w:rsidR="00910107" w:rsidRDefault="00A151A3" w:rsidP="00910107">
      <w:pPr>
        <w:autoSpaceDE w:val="0"/>
        <w:autoSpaceDN w:val="0"/>
        <w:adjustRightInd w:val="0"/>
        <w:spacing w:after="0" w:line="360" w:lineRule="auto"/>
        <w:jc w:val="both"/>
        <w:rPr>
          <w:rFonts w:ascii="Arial" w:hAnsi="Arial" w:cs="Arial"/>
          <w:b/>
          <w:color w:val="000000"/>
          <w:sz w:val="24"/>
          <w:szCs w:val="24"/>
        </w:rPr>
      </w:pPr>
      <w:r w:rsidRPr="003522C1">
        <w:rPr>
          <w:rFonts w:ascii="Arial" w:hAnsi="Arial" w:cs="Arial"/>
          <w:color w:val="000000"/>
          <w:sz w:val="24"/>
          <w:szCs w:val="24"/>
        </w:rPr>
        <w:t xml:space="preserve">Por imperativo convencional art.68.1 y 2 la sentencia de la CORTE IDH es definitiva, obligatoria, y ejecutable, no podemos dejar de lado que La </w:t>
      </w:r>
      <w:r w:rsidR="0023152D" w:rsidRPr="003522C1">
        <w:rPr>
          <w:rFonts w:ascii="Arial" w:hAnsi="Arial" w:cs="Arial"/>
          <w:color w:val="000000"/>
          <w:sz w:val="24"/>
          <w:szCs w:val="24"/>
        </w:rPr>
        <w:t>República</w:t>
      </w:r>
      <w:r w:rsidRPr="003522C1">
        <w:rPr>
          <w:rFonts w:ascii="Arial" w:hAnsi="Arial" w:cs="Arial"/>
          <w:color w:val="000000"/>
          <w:sz w:val="24"/>
          <w:szCs w:val="24"/>
        </w:rPr>
        <w:t xml:space="preserve"> Argentina ha ratificado la CADH en el año 1984 y posteriormente fue incorporada con la reforma constitucional del año 1994 al texto de la </w:t>
      </w:r>
      <w:r w:rsidR="0023152D" w:rsidRPr="003522C1">
        <w:rPr>
          <w:rFonts w:ascii="Arial" w:hAnsi="Arial" w:cs="Arial"/>
          <w:color w:val="000000"/>
          <w:sz w:val="24"/>
          <w:szCs w:val="24"/>
        </w:rPr>
        <w:t>Constitución</w:t>
      </w:r>
      <w:r w:rsidRPr="003522C1">
        <w:rPr>
          <w:rFonts w:ascii="Arial" w:hAnsi="Arial" w:cs="Arial"/>
          <w:color w:val="000000"/>
          <w:sz w:val="24"/>
          <w:szCs w:val="24"/>
        </w:rPr>
        <w:t xml:space="preserve"> Nacional, art.75 inc.22</w:t>
      </w:r>
      <w:r w:rsidR="005976FA" w:rsidRPr="003522C1">
        <w:rPr>
          <w:rFonts w:ascii="Arial" w:hAnsi="Arial" w:cs="Arial"/>
          <w:color w:val="000000"/>
          <w:sz w:val="24"/>
          <w:szCs w:val="24"/>
        </w:rPr>
        <w:t>, teniendo rango constitucional, enton</w:t>
      </w:r>
      <w:r w:rsidR="00F44796" w:rsidRPr="003522C1">
        <w:rPr>
          <w:rFonts w:ascii="Arial" w:hAnsi="Arial" w:cs="Arial"/>
          <w:color w:val="000000"/>
          <w:sz w:val="24"/>
          <w:szCs w:val="24"/>
        </w:rPr>
        <w:t>ces  no puede la CSJN ampararse  en el</w:t>
      </w:r>
      <w:r w:rsidR="005976FA" w:rsidRPr="003522C1">
        <w:rPr>
          <w:rFonts w:ascii="Arial" w:hAnsi="Arial" w:cs="Arial"/>
          <w:color w:val="000000"/>
          <w:sz w:val="24"/>
          <w:szCs w:val="24"/>
        </w:rPr>
        <w:t xml:space="preserve"> texto del art.27 de la </w:t>
      </w:r>
      <w:r w:rsidR="00275623" w:rsidRPr="003522C1">
        <w:rPr>
          <w:rFonts w:ascii="Arial" w:hAnsi="Arial" w:cs="Arial"/>
          <w:color w:val="000000"/>
          <w:sz w:val="24"/>
          <w:szCs w:val="24"/>
        </w:rPr>
        <w:t>Constitución</w:t>
      </w:r>
      <w:r w:rsidR="005976FA" w:rsidRPr="003522C1">
        <w:rPr>
          <w:rFonts w:ascii="Arial" w:hAnsi="Arial" w:cs="Arial"/>
          <w:color w:val="000000"/>
          <w:sz w:val="24"/>
          <w:szCs w:val="24"/>
        </w:rPr>
        <w:t xml:space="preserve"> Nacional, violando el art.27 de la </w:t>
      </w:r>
      <w:r w:rsidR="00275623" w:rsidRPr="003522C1">
        <w:rPr>
          <w:rFonts w:ascii="Arial" w:hAnsi="Arial" w:cs="Arial"/>
          <w:color w:val="000000"/>
          <w:sz w:val="24"/>
          <w:szCs w:val="24"/>
        </w:rPr>
        <w:t>Convención</w:t>
      </w:r>
      <w:r w:rsidR="005976FA" w:rsidRPr="003522C1">
        <w:rPr>
          <w:rFonts w:ascii="Arial" w:hAnsi="Arial" w:cs="Arial"/>
          <w:color w:val="000000"/>
          <w:sz w:val="24"/>
          <w:szCs w:val="24"/>
        </w:rPr>
        <w:t xml:space="preserve"> de Viena de 1969 que </w:t>
      </w:r>
      <w:r w:rsidR="0023152D" w:rsidRPr="003522C1">
        <w:rPr>
          <w:rStyle w:val="Textoennegrita"/>
          <w:rFonts w:ascii="Arial" w:hAnsi="Arial" w:cs="Arial"/>
          <w:b w:val="0"/>
          <w:color w:val="000000"/>
          <w:sz w:val="24"/>
          <w:szCs w:val="24"/>
        </w:rPr>
        <w:t>dispone que un Estado no puede invocar su legislación interna para incumplir una obligación internacional</w:t>
      </w:r>
      <w:r w:rsidR="005976FA" w:rsidRPr="003522C1">
        <w:rPr>
          <w:rStyle w:val="Textoennegrita"/>
          <w:rFonts w:ascii="Arial" w:hAnsi="Arial" w:cs="Arial"/>
          <w:b w:val="0"/>
          <w:color w:val="000000"/>
          <w:sz w:val="24"/>
          <w:szCs w:val="24"/>
        </w:rPr>
        <w:t>, como sucede en este caso.</w:t>
      </w:r>
    </w:p>
    <w:p w:rsidR="0023152D" w:rsidRPr="00910107" w:rsidRDefault="0023152D" w:rsidP="00910107">
      <w:pPr>
        <w:autoSpaceDE w:val="0"/>
        <w:autoSpaceDN w:val="0"/>
        <w:adjustRightInd w:val="0"/>
        <w:spacing w:after="0" w:line="360" w:lineRule="auto"/>
        <w:jc w:val="both"/>
        <w:rPr>
          <w:rFonts w:ascii="Arial" w:hAnsi="Arial" w:cs="Arial"/>
          <w:b/>
          <w:color w:val="000000"/>
          <w:sz w:val="24"/>
          <w:szCs w:val="24"/>
        </w:rPr>
      </w:pPr>
      <w:r w:rsidRPr="003522C1">
        <w:rPr>
          <w:rFonts w:ascii="Arial" w:hAnsi="Arial" w:cs="Arial"/>
          <w:color w:val="000000"/>
          <w:sz w:val="24"/>
          <w:szCs w:val="24"/>
        </w:rPr>
        <w:lastRenderedPageBreak/>
        <w:t>Con este fallo</w:t>
      </w:r>
      <w:r w:rsidR="007A3620">
        <w:rPr>
          <w:rFonts w:ascii="Arial" w:hAnsi="Arial" w:cs="Arial"/>
          <w:color w:val="000000"/>
          <w:sz w:val="24"/>
          <w:szCs w:val="24"/>
        </w:rPr>
        <w:t xml:space="preserve">  se afecta clar</w:t>
      </w:r>
      <w:r w:rsidR="002677F8">
        <w:rPr>
          <w:rFonts w:ascii="Arial" w:hAnsi="Arial" w:cs="Arial"/>
          <w:color w:val="000000"/>
          <w:sz w:val="24"/>
          <w:szCs w:val="24"/>
        </w:rPr>
        <w:t>amente, el principio de progresividad establecido en el art.26 de la Convención Americana,</w:t>
      </w:r>
      <w:r w:rsidR="007A3620">
        <w:rPr>
          <w:rFonts w:ascii="Arial" w:hAnsi="Arial" w:cs="Arial"/>
          <w:color w:val="000000"/>
          <w:sz w:val="24"/>
          <w:szCs w:val="24"/>
        </w:rPr>
        <w:t xml:space="preserve"> y</w:t>
      </w:r>
      <w:r w:rsidRPr="003522C1">
        <w:rPr>
          <w:rFonts w:ascii="Arial" w:hAnsi="Arial" w:cs="Arial"/>
          <w:color w:val="000000"/>
          <w:sz w:val="24"/>
          <w:szCs w:val="24"/>
        </w:rPr>
        <w:t xml:space="preserve"> se abre</w:t>
      </w:r>
      <w:r w:rsidR="004E06C3" w:rsidRPr="003522C1">
        <w:rPr>
          <w:rFonts w:ascii="Arial" w:hAnsi="Arial" w:cs="Arial"/>
          <w:color w:val="000000"/>
          <w:sz w:val="24"/>
          <w:szCs w:val="24"/>
        </w:rPr>
        <w:t xml:space="preserve">n varios </w:t>
      </w:r>
      <w:r w:rsidRPr="003522C1">
        <w:rPr>
          <w:rFonts w:ascii="Arial" w:hAnsi="Arial" w:cs="Arial"/>
          <w:color w:val="000000"/>
          <w:sz w:val="24"/>
          <w:szCs w:val="24"/>
        </w:rPr>
        <w:t xml:space="preserve"> interrogante</w:t>
      </w:r>
      <w:r w:rsidR="004E06C3" w:rsidRPr="003522C1">
        <w:rPr>
          <w:rFonts w:ascii="Arial" w:hAnsi="Arial" w:cs="Arial"/>
          <w:color w:val="000000"/>
          <w:sz w:val="24"/>
          <w:szCs w:val="24"/>
        </w:rPr>
        <w:t>s</w:t>
      </w:r>
      <w:r w:rsidR="00F1328A" w:rsidRPr="003522C1">
        <w:rPr>
          <w:rFonts w:ascii="Arial" w:hAnsi="Arial" w:cs="Arial"/>
          <w:color w:val="000000"/>
          <w:sz w:val="24"/>
          <w:szCs w:val="24"/>
        </w:rPr>
        <w:t>:</w:t>
      </w:r>
      <w:r w:rsidR="004E06C3" w:rsidRPr="003522C1">
        <w:rPr>
          <w:rFonts w:ascii="Arial" w:hAnsi="Arial" w:cs="Arial"/>
          <w:color w:val="000000"/>
          <w:sz w:val="24"/>
          <w:szCs w:val="24"/>
        </w:rPr>
        <w:t xml:space="preserve"> por un lado</w:t>
      </w:r>
      <w:r w:rsidRPr="003522C1">
        <w:rPr>
          <w:rFonts w:ascii="Arial" w:hAnsi="Arial" w:cs="Arial"/>
          <w:color w:val="000000"/>
          <w:sz w:val="24"/>
          <w:szCs w:val="24"/>
        </w:rPr>
        <w:t xml:space="preserve"> sobre la responsabilidad internacional</w:t>
      </w:r>
      <w:r w:rsidR="00B33DF4" w:rsidRPr="003522C1">
        <w:rPr>
          <w:rFonts w:ascii="Arial" w:hAnsi="Arial" w:cs="Arial"/>
          <w:color w:val="000000"/>
          <w:sz w:val="24"/>
          <w:szCs w:val="24"/>
        </w:rPr>
        <w:t xml:space="preserve"> que le cabe al </w:t>
      </w:r>
      <w:r w:rsidRPr="003522C1">
        <w:rPr>
          <w:rFonts w:ascii="Arial" w:hAnsi="Arial" w:cs="Arial"/>
          <w:color w:val="000000"/>
          <w:sz w:val="24"/>
          <w:szCs w:val="24"/>
        </w:rPr>
        <w:t xml:space="preserve"> Estado </w:t>
      </w:r>
      <w:r w:rsidR="00B33DF4" w:rsidRPr="003522C1">
        <w:rPr>
          <w:rFonts w:ascii="Arial" w:hAnsi="Arial" w:cs="Arial"/>
          <w:color w:val="000000"/>
          <w:sz w:val="24"/>
          <w:szCs w:val="24"/>
        </w:rPr>
        <w:t xml:space="preserve">Argentino </w:t>
      </w:r>
      <w:r w:rsidRPr="003522C1">
        <w:rPr>
          <w:rFonts w:ascii="Arial" w:hAnsi="Arial" w:cs="Arial"/>
          <w:color w:val="000000"/>
          <w:sz w:val="24"/>
          <w:szCs w:val="24"/>
        </w:rPr>
        <w:t xml:space="preserve">por el incumplimiento de la </w:t>
      </w:r>
      <w:r w:rsidR="004E06C3" w:rsidRPr="003522C1">
        <w:rPr>
          <w:rFonts w:ascii="Arial" w:hAnsi="Arial" w:cs="Arial"/>
          <w:color w:val="000000"/>
          <w:sz w:val="24"/>
          <w:szCs w:val="24"/>
        </w:rPr>
        <w:t>sentencia de la Corte IDH</w:t>
      </w:r>
      <w:r w:rsidR="00F1328A" w:rsidRPr="003522C1">
        <w:rPr>
          <w:rFonts w:ascii="Arial" w:hAnsi="Arial" w:cs="Arial"/>
          <w:color w:val="000000"/>
          <w:sz w:val="24"/>
          <w:szCs w:val="24"/>
        </w:rPr>
        <w:t>;</w:t>
      </w:r>
      <w:r w:rsidR="00C5197F" w:rsidRPr="003522C1">
        <w:rPr>
          <w:rFonts w:ascii="Arial" w:hAnsi="Arial" w:cs="Arial"/>
          <w:color w:val="000000"/>
          <w:sz w:val="24"/>
          <w:szCs w:val="24"/>
        </w:rPr>
        <w:t xml:space="preserve"> </w:t>
      </w:r>
      <w:r w:rsidR="007A3620">
        <w:rPr>
          <w:rFonts w:ascii="Arial" w:hAnsi="Arial" w:cs="Arial"/>
          <w:color w:val="000000"/>
          <w:sz w:val="24"/>
          <w:szCs w:val="24"/>
        </w:rPr>
        <w:t>Q</w:t>
      </w:r>
      <w:r w:rsidR="00F1328A" w:rsidRPr="003522C1">
        <w:rPr>
          <w:rFonts w:ascii="Arial" w:hAnsi="Arial" w:cs="Arial"/>
          <w:color w:val="000000"/>
          <w:sz w:val="24"/>
          <w:szCs w:val="24"/>
        </w:rPr>
        <w:t>ué</w:t>
      </w:r>
      <w:r w:rsidR="00266C67" w:rsidRPr="003522C1">
        <w:rPr>
          <w:rFonts w:ascii="Arial" w:hAnsi="Arial" w:cs="Arial"/>
          <w:color w:val="000000"/>
          <w:sz w:val="24"/>
          <w:szCs w:val="24"/>
        </w:rPr>
        <w:t xml:space="preserve"> postura </w:t>
      </w:r>
      <w:r w:rsidR="004E06C3" w:rsidRPr="003522C1">
        <w:rPr>
          <w:rFonts w:ascii="Arial" w:hAnsi="Arial" w:cs="Arial"/>
          <w:color w:val="000000"/>
          <w:sz w:val="24"/>
          <w:szCs w:val="24"/>
        </w:rPr>
        <w:t>adoptará</w:t>
      </w:r>
      <w:r w:rsidR="00266C67" w:rsidRPr="003522C1">
        <w:rPr>
          <w:rFonts w:ascii="Arial" w:hAnsi="Arial" w:cs="Arial"/>
          <w:color w:val="000000"/>
          <w:sz w:val="24"/>
          <w:szCs w:val="24"/>
        </w:rPr>
        <w:t xml:space="preserve"> </w:t>
      </w:r>
      <w:r w:rsidR="00C5197F" w:rsidRPr="003522C1">
        <w:rPr>
          <w:rFonts w:ascii="Arial" w:hAnsi="Arial" w:cs="Arial"/>
          <w:color w:val="000000"/>
          <w:sz w:val="24"/>
          <w:szCs w:val="24"/>
        </w:rPr>
        <w:t xml:space="preserve"> la C</w:t>
      </w:r>
      <w:r w:rsidR="00F1328A" w:rsidRPr="003522C1">
        <w:rPr>
          <w:rFonts w:ascii="Arial" w:hAnsi="Arial" w:cs="Arial"/>
          <w:color w:val="000000"/>
          <w:sz w:val="24"/>
          <w:szCs w:val="24"/>
        </w:rPr>
        <w:t xml:space="preserve">orte </w:t>
      </w:r>
      <w:r w:rsidR="00C5197F" w:rsidRPr="003522C1">
        <w:rPr>
          <w:rFonts w:ascii="Arial" w:hAnsi="Arial" w:cs="Arial"/>
          <w:color w:val="000000"/>
          <w:sz w:val="24"/>
          <w:szCs w:val="24"/>
        </w:rPr>
        <w:t>IDH</w:t>
      </w:r>
      <w:r w:rsidR="00266C67" w:rsidRPr="003522C1">
        <w:rPr>
          <w:rFonts w:ascii="Arial" w:hAnsi="Arial" w:cs="Arial"/>
          <w:color w:val="000000"/>
          <w:sz w:val="24"/>
          <w:szCs w:val="24"/>
        </w:rPr>
        <w:t xml:space="preserve"> cuando </w:t>
      </w:r>
      <w:r w:rsidR="00C5197F" w:rsidRPr="003522C1">
        <w:rPr>
          <w:rFonts w:ascii="Arial" w:hAnsi="Arial" w:cs="Arial"/>
          <w:color w:val="000000"/>
          <w:sz w:val="24"/>
          <w:szCs w:val="24"/>
        </w:rPr>
        <w:t xml:space="preserve"> supervise el</w:t>
      </w:r>
      <w:r w:rsidR="00F44796" w:rsidRPr="003522C1">
        <w:rPr>
          <w:rFonts w:ascii="Arial" w:hAnsi="Arial" w:cs="Arial"/>
          <w:color w:val="000000"/>
          <w:sz w:val="24"/>
          <w:szCs w:val="24"/>
        </w:rPr>
        <w:t xml:space="preserve"> cumplimiento de esta sentencia;</w:t>
      </w:r>
      <w:r w:rsidR="00266C67" w:rsidRPr="003522C1">
        <w:rPr>
          <w:rFonts w:ascii="Arial" w:hAnsi="Arial" w:cs="Arial"/>
          <w:color w:val="000000"/>
          <w:sz w:val="24"/>
          <w:szCs w:val="24"/>
        </w:rPr>
        <w:t xml:space="preserve"> sumado a </w:t>
      </w:r>
      <w:r w:rsidRPr="003522C1">
        <w:rPr>
          <w:rFonts w:ascii="Arial" w:hAnsi="Arial" w:cs="Arial"/>
          <w:color w:val="000000"/>
          <w:sz w:val="24"/>
          <w:szCs w:val="24"/>
        </w:rPr>
        <w:t xml:space="preserve"> la incertidumbre que se </w:t>
      </w:r>
      <w:r w:rsidR="00266C67" w:rsidRPr="003522C1">
        <w:rPr>
          <w:rFonts w:ascii="Arial" w:hAnsi="Arial" w:cs="Arial"/>
          <w:color w:val="000000"/>
          <w:sz w:val="24"/>
          <w:szCs w:val="24"/>
        </w:rPr>
        <w:t>plantea</w:t>
      </w:r>
      <w:r w:rsidRPr="003522C1">
        <w:rPr>
          <w:rFonts w:ascii="Arial" w:hAnsi="Arial" w:cs="Arial"/>
          <w:color w:val="000000"/>
          <w:sz w:val="24"/>
          <w:szCs w:val="24"/>
        </w:rPr>
        <w:t xml:space="preserve"> con las futuras sentencias</w:t>
      </w:r>
      <w:r w:rsidR="00B33DF4" w:rsidRPr="003522C1">
        <w:rPr>
          <w:rFonts w:ascii="Arial" w:hAnsi="Arial" w:cs="Arial"/>
          <w:color w:val="000000"/>
          <w:sz w:val="24"/>
          <w:szCs w:val="24"/>
        </w:rPr>
        <w:t xml:space="preserve"> </w:t>
      </w:r>
      <w:r w:rsidRPr="003522C1">
        <w:rPr>
          <w:rFonts w:ascii="Arial" w:hAnsi="Arial" w:cs="Arial"/>
          <w:color w:val="000000"/>
          <w:sz w:val="24"/>
          <w:szCs w:val="24"/>
        </w:rPr>
        <w:t>a dictarse por la Corte Internacional a</w:t>
      </w:r>
      <w:r w:rsidR="001C0EF3" w:rsidRPr="003522C1">
        <w:rPr>
          <w:rFonts w:ascii="Arial" w:hAnsi="Arial" w:cs="Arial"/>
          <w:color w:val="000000"/>
          <w:sz w:val="24"/>
          <w:szCs w:val="24"/>
        </w:rPr>
        <w:t>nte casos similares al presente. ¿</w:t>
      </w:r>
      <w:proofErr w:type="gramStart"/>
      <w:r w:rsidR="001C0EF3" w:rsidRPr="003522C1">
        <w:rPr>
          <w:rFonts w:ascii="Arial" w:hAnsi="Arial" w:cs="Arial"/>
          <w:color w:val="000000"/>
          <w:sz w:val="24"/>
          <w:szCs w:val="24"/>
        </w:rPr>
        <w:t>O</w:t>
      </w:r>
      <w:r w:rsidR="00F44796" w:rsidRPr="003522C1">
        <w:rPr>
          <w:rFonts w:ascii="Arial" w:hAnsi="Arial" w:cs="Arial"/>
          <w:color w:val="000000"/>
          <w:sz w:val="24"/>
          <w:szCs w:val="24"/>
        </w:rPr>
        <w:t xml:space="preserve">bedecerá </w:t>
      </w:r>
      <w:r w:rsidR="00B33DF4" w:rsidRPr="003522C1">
        <w:rPr>
          <w:rFonts w:ascii="Arial" w:hAnsi="Arial" w:cs="Arial"/>
          <w:color w:val="000000"/>
          <w:sz w:val="24"/>
          <w:szCs w:val="24"/>
        </w:rPr>
        <w:t xml:space="preserve"> la</w:t>
      </w:r>
      <w:proofErr w:type="gramEnd"/>
      <w:r w:rsidR="00B33DF4" w:rsidRPr="003522C1">
        <w:rPr>
          <w:rFonts w:ascii="Arial" w:hAnsi="Arial" w:cs="Arial"/>
          <w:color w:val="000000"/>
          <w:sz w:val="24"/>
          <w:szCs w:val="24"/>
        </w:rPr>
        <w:t xml:space="preserve"> Corte Suprema de la Nación Argentina </w:t>
      </w:r>
      <w:r w:rsidR="00F44796" w:rsidRPr="003522C1">
        <w:rPr>
          <w:rFonts w:ascii="Arial" w:hAnsi="Arial" w:cs="Arial"/>
          <w:color w:val="000000"/>
          <w:sz w:val="24"/>
          <w:szCs w:val="24"/>
        </w:rPr>
        <w:t xml:space="preserve"> a la </w:t>
      </w:r>
      <w:r w:rsidR="004E06C3" w:rsidRPr="003522C1">
        <w:rPr>
          <w:rFonts w:ascii="Arial" w:hAnsi="Arial" w:cs="Arial"/>
          <w:color w:val="000000"/>
          <w:sz w:val="24"/>
          <w:szCs w:val="24"/>
        </w:rPr>
        <w:t xml:space="preserve"> Corte de San José</w:t>
      </w:r>
      <w:r w:rsidR="00F1328A" w:rsidRPr="003522C1">
        <w:rPr>
          <w:rFonts w:ascii="Arial" w:hAnsi="Arial" w:cs="Arial"/>
          <w:color w:val="000000"/>
          <w:sz w:val="24"/>
          <w:szCs w:val="24"/>
        </w:rPr>
        <w:t>?</w:t>
      </w:r>
      <w:r w:rsidR="007A3620">
        <w:rPr>
          <w:rFonts w:ascii="Arial" w:hAnsi="Arial" w:cs="Arial"/>
          <w:color w:val="000000"/>
          <w:sz w:val="24"/>
          <w:szCs w:val="24"/>
        </w:rPr>
        <w:t xml:space="preserve"> </w:t>
      </w:r>
    </w:p>
    <w:p w:rsidR="0066729D" w:rsidRPr="003522C1" w:rsidRDefault="0023152D" w:rsidP="00910107">
      <w:pPr>
        <w:autoSpaceDE w:val="0"/>
        <w:autoSpaceDN w:val="0"/>
        <w:adjustRightInd w:val="0"/>
        <w:spacing w:after="0" w:line="360" w:lineRule="auto"/>
        <w:jc w:val="both"/>
        <w:rPr>
          <w:rFonts w:ascii="Arial" w:hAnsi="Arial" w:cs="Arial"/>
          <w:color w:val="000000"/>
          <w:sz w:val="24"/>
          <w:szCs w:val="24"/>
        </w:rPr>
      </w:pPr>
      <w:r w:rsidRPr="003522C1">
        <w:rPr>
          <w:rFonts w:ascii="Arial" w:hAnsi="Arial" w:cs="Arial"/>
          <w:color w:val="000000"/>
          <w:sz w:val="24"/>
          <w:szCs w:val="24"/>
        </w:rPr>
        <w:t>Ante este difícil escenario</w:t>
      </w:r>
      <w:r w:rsidR="001C0EF3" w:rsidRPr="003522C1">
        <w:rPr>
          <w:rFonts w:ascii="Arial" w:hAnsi="Arial" w:cs="Arial"/>
          <w:color w:val="000000"/>
          <w:sz w:val="24"/>
          <w:szCs w:val="24"/>
        </w:rPr>
        <w:t xml:space="preserve">, pienso que </w:t>
      </w:r>
      <w:r w:rsidR="00266C67" w:rsidRPr="003522C1">
        <w:rPr>
          <w:rFonts w:ascii="Arial" w:hAnsi="Arial" w:cs="Arial"/>
          <w:color w:val="000000"/>
          <w:sz w:val="24"/>
          <w:szCs w:val="24"/>
        </w:rPr>
        <w:t>el</w:t>
      </w:r>
      <w:r w:rsidRPr="003522C1">
        <w:rPr>
          <w:rFonts w:ascii="Arial" w:hAnsi="Arial" w:cs="Arial"/>
          <w:color w:val="000000"/>
          <w:sz w:val="24"/>
          <w:szCs w:val="24"/>
        </w:rPr>
        <w:t xml:space="preserve"> </w:t>
      </w:r>
      <w:r w:rsidR="00266C67" w:rsidRPr="003522C1">
        <w:rPr>
          <w:rFonts w:ascii="Arial" w:hAnsi="Arial" w:cs="Arial"/>
          <w:color w:val="000000"/>
          <w:sz w:val="24"/>
          <w:szCs w:val="24"/>
        </w:rPr>
        <w:t>“</w:t>
      </w:r>
      <w:r w:rsidRPr="003522C1">
        <w:rPr>
          <w:rFonts w:ascii="Arial" w:hAnsi="Arial" w:cs="Arial"/>
          <w:color w:val="000000"/>
          <w:sz w:val="24"/>
          <w:szCs w:val="24"/>
        </w:rPr>
        <w:t>dialogo interjurisdiccional entre los intérpretes finales</w:t>
      </w:r>
      <w:r w:rsidR="00F1328A" w:rsidRPr="003522C1">
        <w:rPr>
          <w:rFonts w:ascii="Arial" w:hAnsi="Arial" w:cs="Arial"/>
          <w:color w:val="000000"/>
          <w:sz w:val="24"/>
          <w:szCs w:val="24"/>
        </w:rPr>
        <w:t>”</w:t>
      </w:r>
      <w:r w:rsidRPr="003522C1">
        <w:rPr>
          <w:rFonts w:ascii="Arial" w:hAnsi="Arial" w:cs="Arial"/>
          <w:color w:val="000000"/>
          <w:sz w:val="24"/>
          <w:szCs w:val="24"/>
        </w:rPr>
        <w:t>,</w:t>
      </w:r>
      <w:r w:rsidR="001C0EF3" w:rsidRPr="003522C1">
        <w:rPr>
          <w:rFonts w:ascii="Arial" w:hAnsi="Arial" w:cs="Arial"/>
          <w:color w:val="000000"/>
          <w:sz w:val="24"/>
          <w:szCs w:val="24"/>
        </w:rPr>
        <w:t xml:space="preserve"> aparece como una</w:t>
      </w:r>
      <w:r w:rsidR="00F44796" w:rsidRPr="003522C1">
        <w:rPr>
          <w:rFonts w:ascii="Arial" w:hAnsi="Arial" w:cs="Arial"/>
          <w:color w:val="000000"/>
          <w:sz w:val="24"/>
          <w:szCs w:val="24"/>
        </w:rPr>
        <w:t xml:space="preserve"> propuesta superadora del conflicto,</w:t>
      </w:r>
      <w:r w:rsidRPr="003522C1">
        <w:rPr>
          <w:rFonts w:ascii="Arial" w:hAnsi="Arial" w:cs="Arial"/>
          <w:color w:val="000000"/>
          <w:sz w:val="24"/>
          <w:szCs w:val="24"/>
        </w:rPr>
        <w:t xml:space="preserve"> para construir consensos mínimos, que conspiren al fortalecimiento de la protección de los derechos humanos en el </w:t>
      </w:r>
      <w:r w:rsidR="005C70D3" w:rsidRPr="003522C1">
        <w:rPr>
          <w:rFonts w:ascii="Arial" w:hAnsi="Arial" w:cs="Arial"/>
          <w:color w:val="000000"/>
          <w:sz w:val="24"/>
          <w:szCs w:val="24"/>
        </w:rPr>
        <w:t>ámbito nacional e internacional</w:t>
      </w:r>
      <w:r w:rsidR="00F1328A" w:rsidRPr="003522C1">
        <w:rPr>
          <w:rFonts w:ascii="Arial" w:hAnsi="Arial" w:cs="Arial"/>
          <w:color w:val="000000"/>
          <w:sz w:val="24"/>
          <w:szCs w:val="24"/>
        </w:rPr>
        <w:t xml:space="preserve"> en pro de los ciudadanos argentino</w:t>
      </w:r>
      <w:r w:rsidR="0066729D" w:rsidRPr="003522C1">
        <w:rPr>
          <w:rFonts w:ascii="Arial" w:hAnsi="Arial" w:cs="Arial"/>
          <w:color w:val="000000"/>
          <w:sz w:val="24"/>
          <w:szCs w:val="24"/>
        </w:rPr>
        <w:t>s.</w:t>
      </w:r>
    </w:p>
    <w:p w:rsidR="00B93CF4" w:rsidRDefault="00F44796" w:rsidP="00910107">
      <w:pPr>
        <w:autoSpaceDE w:val="0"/>
        <w:autoSpaceDN w:val="0"/>
        <w:adjustRightInd w:val="0"/>
        <w:spacing w:after="0" w:line="360" w:lineRule="auto"/>
        <w:jc w:val="both"/>
        <w:rPr>
          <w:rFonts w:ascii="Arial" w:hAnsi="Arial" w:cs="Arial"/>
          <w:color w:val="000000"/>
          <w:sz w:val="24"/>
          <w:szCs w:val="24"/>
        </w:rPr>
      </w:pPr>
      <w:r w:rsidRPr="003522C1">
        <w:rPr>
          <w:rFonts w:ascii="Arial" w:hAnsi="Arial" w:cs="Arial"/>
          <w:color w:val="000000"/>
          <w:sz w:val="24"/>
          <w:szCs w:val="24"/>
        </w:rPr>
        <w:t xml:space="preserve">La </w:t>
      </w:r>
      <w:r w:rsidR="009C3767" w:rsidRPr="003522C1">
        <w:rPr>
          <w:rFonts w:ascii="Arial" w:hAnsi="Arial" w:cs="Arial"/>
          <w:color w:val="000000"/>
          <w:sz w:val="24"/>
          <w:szCs w:val="24"/>
        </w:rPr>
        <w:t>problemática</w:t>
      </w:r>
      <w:r w:rsidR="005C70D3" w:rsidRPr="003522C1">
        <w:rPr>
          <w:rFonts w:ascii="Arial" w:hAnsi="Arial" w:cs="Arial"/>
          <w:color w:val="000000"/>
          <w:sz w:val="24"/>
          <w:szCs w:val="24"/>
        </w:rPr>
        <w:t xml:space="preserve"> que se ha generado entre la Corte IDH y la CSJN</w:t>
      </w:r>
      <w:r w:rsidR="005976FA" w:rsidRPr="003522C1">
        <w:rPr>
          <w:rFonts w:ascii="Arial" w:hAnsi="Arial" w:cs="Arial"/>
          <w:color w:val="000000"/>
          <w:sz w:val="24"/>
          <w:szCs w:val="24"/>
        </w:rPr>
        <w:t>, no sucede solamente en el sistema interamericano, sino también en el Europeo, muestra de ello son las tensiones que existen entre las Cortes Constitucionales Europeas, los Jueces Nacionales, los Jueces del Tribunal de Justicia Europeo “Luxemburgo” y los Jueces del TEDH “ Estrasburgo”, ahora bien para armonizar los distintos ordenamientos</w:t>
      </w:r>
      <w:r w:rsidR="00CB66B6" w:rsidRPr="003522C1">
        <w:rPr>
          <w:rFonts w:ascii="Arial" w:hAnsi="Arial" w:cs="Arial"/>
          <w:color w:val="000000"/>
          <w:sz w:val="24"/>
          <w:szCs w:val="24"/>
        </w:rPr>
        <w:t xml:space="preserve">, </w:t>
      </w:r>
      <w:r w:rsidR="00F1328A" w:rsidRPr="003522C1">
        <w:rPr>
          <w:rFonts w:ascii="Arial" w:hAnsi="Arial" w:cs="Arial"/>
          <w:color w:val="000000"/>
          <w:sz w:val="24"/>
          <w:szCs w:val="24"/>
        </w:rPr>
        <w:t>los jueces</w:t>
      </w:r>
      <w:r w:rsidR="005976FA" w:rsidRPr="003522C1">
        <w:rPr>
          <w:rFonts w:ascii="Arial" w:hAnsi="Arial" w:cs="Arial"/>
          <w:color w:val="000000"/>
          <w:sz w:val="24"/>
          <w:szCs w:val="24"/>
        </w:rPr>
        <w:t xml:space="preserve"> </w:t>
      </w:r>
      <w:r w:rsidR="00ED2A00">
        <w:rPr>
          <w:rFonts w:ascii="Arial" w:hAnsi="Arial" w:cs="Arial"/>
          <w:color w:val="000000"/>
          <w:sz w:val="24"/>
          <w:szCs w:val="24"/>
        </w:rPr>
        <w:t>europeos</w:t>
      </w:r>
      <w:r w:rsidR="009B782C">
        <w:rPr>
          <w:rFonts w:ascii="Arial" w:hAnsi="Arial" w:cs="Arial"/>
          <w:color w:val="000000"/>
          <w:sz w:val="24"/>
          <w:szCs w:val="24"/>
        </w:rPr>
        <w:t xml:space="preserve"> a diferencia de los jueces americanos,</w:t>
      </w:r>
      <w:r w:rsidR="00ED2A00">
        <w:rPr>
          <w:rFonts w:ascii="Arial" w:hAnsi="Arial" w:cs="Arial"/>
          <w:color w:val="000000"/>
          <w:sz w:val="24"/>
          <w:szCs w:val="24"/>
        </w:rPr>
        <w:t xml:space="preserve"> </w:t>
      </w:r>
      <w:r w:rsidR="005976FA" w:rsidRPr="003522C1">
        <w:rPr>
          <w:rFonts w:ascii="Arial" w:hAnsi="Arial" w:cs="Arial"/>
          <w:color w:val="000000"/>
          <w:sz w:val="24"/>
          <w:szCs w:val="24"/>
        </w:rPr>
        <w:t>han apelado a</w:t>
      </w:r>
      <w:r w:rsidR="009B782C">
        <w:rPr>
          <w:rFonts w:ascii="Arial" w:hAnsi="Arial" w:cs="Arial"/>
          <w:color w:val="000000"/>
          <w:sz w:val="24"/>
          <w:szCs w:val="24"/>
        </w:rPr>
        <w:t xml:space="preserve"> la tolerancia, y a</w:t>
      </w:r>
      <w:r w:rsidR="005976FA" w:rsidRPr="003522C1">
        <w:rPr>
          <w:rFonts w:ascii="Arial" w:hAnsi="Arial" w:cs="Arial"/>
          <w:color w:val="000000"/>
          <w:sz w:val="24"/>
          <w:szCs w:val="24"/>
        </w:rPr>
        <w:t xml:space="preserve"> distintas técnicas de interpretación, ya sea del margen de a</w:t>
      </w:r>
      <w:r w:rsidR="0066729D" w:rsidRPr="003522C1">
        <w:rPr>
          <w:rFonts w:ascii="Arial" w:hAnsi="Arial" w:cs="Arial"/>
          <w:color w:val="000000"/>
          <w:sz w:val="24"/>
          <w:szCs w:val="24"/>
        </w:rPr>
        <w:t>preciación nacional,</w:t>
      </w:r>
      <w:r w:rsidR="005976FA" w:rsidRPr="003522C1">
        <w:rPr>
          <w:rFonts w:ascii="Arial" w:hAnsi="Arial" w:cs="Arial"/>
          <w:color w:val="000000"/>
          <w:sz w:val="24"/>
          <w:szCs w:val="24"/>
        </w:rPr>
        <w:t xml:space="preserve"> de cooperación,</w:t>
      </w:r>
      <w:r w:rsidR="0066729D" w:rsidRPr="003522C1">
        <w:rPr>
          <w:rFonts w:ascii="Arial" w:hAnsi="Arial" w:cs="Arial"/>
          <w:color w:val="000000"/>
          <w:sz w:val="24"/>
          <w:szCs w:val="24"/>
        </w:rPr>
        <w:t xml:space="preserve"> </w:t>
      </w:r>
      <w:r w:rsidR="008C3588" w:rsidRPr="003522C1">
        <w:rPr>
          <w:rFonts w:ascii="Arial" w:hAnsi="Arial" w:cs="Arial"/>
          <w:color w:val="000000"/>
          <w:sz w:val="24"/>
          <w:szCs w:val="24"/>
        </w:rPr>
        <w:t xml:space="preserve">control de identidad constitucional </w:t>
      </w:r>
      <w:r w:rsidR="00101D9B">
        <w:rPr>
          <w:rFonts w:ascii="Arial" w:hAnsi="Arial" w:cs="Arial"/>
          <w:color w:val="000000"/>
          <w:sz w:val="24"/>
          <w:szCs w:val="24"/>
        </w:rPr>
        <w:t xml:space="preserve"> y </w:t>
      </w:r>
      <w:r w:rsidR="007A3620">
        <w:rPr>
          <w:rFonts w:ascii="Arial" w:hAnsi="Arial" w:cs="Arial"/>
          <w:color w:val="000000"/>
          <w:sz w:val="24"/>
          <w:szCs w:val="24"/>
        </w:rPr>
        <w:t xml:space="preserve">al </w:t>
      </w:r>
      <w:r w:rsidR="00101D9B">
        <w:rPr>
          <w:rFonts w:ascii="Arial" w:hAnsi="Arial" w:cs="Arial"/>
          <w:color w:val="000000"/>
          <w:sz w:val="24"/>
          <w:szCs w:val="24"/>
        </w:rPr>
        <w:t xml:space="preserve">diálogo interjurisdiccional, </w:t>
      </w:r>
      <w:r w:rsidR="008C3588" w:rsidRPr="003522C1">
        <w:rPr>
          <w:rFonts w:ascii="Arial" w:hAnsi="Arial" w:cs="Arial"/>
          <w:color w:val="000000"/>
          <w:sz w:val="24"/>
          <w:szCs w:val="24"/>
        </w:rPr>
        <w:t>como técnica</w:t>
      </w:r>
      <w:r w:rsidR="00ED2A00">
        <w:rPr>
          <w:rFonts w:ascii="Arial" w:hAnsi="Arial" w:cs="Arial"/>
          <w:color w:val="000000"/>
          <w:sz w:val="24"/>
          <w:szCs w:val="24"/>
        </w:rPr>
        <w:t>s</w:t>
      </w:r>
      <w:r w:rsidR="009B782C">
        <w:rPr>
          <w:rFonts w:ascii="Arial" w:hAnsi="Arial" w:cs="Arial"/>
          <w:color w:val="000000"/>
          <w:sz w:val="24"/>
          <w:szCs w:val="24"/>
        </w:rPr>
        <w:t xml:space="preserve"> de cohabitación,</w:t>
      </w:r>
      <w:r w:rsidR="0066729D" w:rsidRPr="003522C1">
        <w:rPr>
          <w:rFonts w:ascii="Arial" w:hAnsi="Arial" w:cs="Arial"/>
          <w:color w:val="000000"/>
          <w:sz w:val="24"/>
          <w:szCs w:val="24"/>
        </w:rPr>
        <w:t xml:space="preserve"> entre otras,</w:t>
      </w:r>
      <w:r w:rsidR="005976FA" w:rsidRPr="003522C1">
        <w:rPr>
          <w:rFonts w:ascii="Arial" w:hAnsi="Arial" w:cs="Arial"/>
          <w:color w:val="000000"/>
          <w:sz w:val="24"/>
          <w:szCs w:val="24"/>
        </w:rPr>
        <w:t xml:space="preserve"> </w:t>
      </w:r>
      <w:r w:rsidRPr="003522C1">
        <w:rPr>
          <w:rFonts w:ascii="Arial" w:hAnsi="Arial" w:cs="Arial"/>
          <w:color w:val="000000"/>
          <w:sz w:val="24"/>
          <w:szCs w:val="24"/>
        </w:rPr>
        <w:t xml:space="preserve">a los fines de no </w:t>
      </w:r>
      <w:r w:rsidR="005976FA" w:rsidRPr="003522C1">
        <w:rPr>
          <w:rFonts w:ascii="Arial" w:hAnsi="Arial" w:cs="Arial"/>
          <w:color w:val="000000"/>
          <w:sz w:val="24"/>
          <w:szCs w:val="24"/>
        </w:rPr>
        <w:t xml:space="preserve"> desautorizar la palabra de los Tribunales de Luxemburgo y Estra</w:t>
      </w:r>
      <w:r w:rsidR="001134BF" w:rsidRPr="003522C1">
        <w:rPr>
          <w:rFonts w:ascii="Arial" w:hAnsi="Arial" w:cs="Arial"/>
          <w:color w:val="000000"/>
          <w:sz w:val="24"/>
          <w:szCs w:val="24"/>
        </w:rPr>
        <w:t>s</w:t>
      </w:r>
      <w:r w:rsidR="005976FA" w:rsidRPr="003522C1">
        <w:rPr>
          <w:rFonts w:ascii="Arial" w:hAnsi="Arial" w:cs="Arial"/>
          <w:color w:val="000000"/>
          <w:sz w:val="24"/>
          <w:szCs w:val="24"/>
        </w:rPr>
        <w:t>burgo</w:t>
      </w:r>
      <w:r w:rsidR="007A3620">
        <w:rPr>
          <w:rFonts w:ascii="Arial" w:hAnsi="Arial" w:cs="Arial"/>
          <w:color w:val="000000"/>
          <w:sz w:val="24"/>
          <w:szCs w:val="24"/>
        </w:rPr>
        <w:t xml:space="preserve"> con quienes integran una compleja comunidad de </w:t>
      </w:r>
      <w:proofErr w:type="spellStart"/>
      <w:r w:rsidR="007A3620">
        <w:rPr>
          <w:rFonts w:ascii="Arial" w:hAnsi="Arial" w:cs="Arial"/>
          <w:color w:val="000000"/>
          <w:sz w:val="24"/>
          <w:szCs w:val="24"/>
        </w:rPr>
        <w:t>interpretes</w:t>
      </w:r>
      <w:proofErr w:type="spellEnd"/>
      <w:r w:rsidR="007A3620">
        <w:rPr>
          <w:rFonts w:ascii="Arial" w:hAnsi="Arial" w:cs="Arial"/>
          <w:color w:val="000000"/>
          <w:sz w:val="24"/>
          <w:szCs w:val="24"/>
        </w:rPr>
        <w:t xml:space="preserve"> finales conocido como el Triángulo Judicial Europeo,</w:t>
      </w:r>
      <w:r w:rsidR="005976FA" w:rsidRPr="003522C1">
        <w:rPr>
          <w:rFonts w:ascii="Arial" w:hAnsi="Arial" w:cs="Arial"/>
          <w:color w:val="000000"/>
          <w:sz w:val="24"/>
          <w:szCs w:val="24"/>
        </w:rPr>
        <w:t xml:space="preserve"> en aras de la eficacia</w:t>
      </w:r>
      <w:r w:rsidR="00C9386B">
        <w:rPr>
          <w:rFonts w:ascii="Arial" w:hAnsi="Arial" w:cs="Arial"/>
          <w:color w:val="000000"/>
          <w:sz w:val="24"/>
          <w:szCs w:val="24"/>
        </w:rPr>
        <w:t xml:space="preserve"> y </w:t>
      </w:r>
      <w:r w:rsidR="00C9386B">
        <w:rPr>
          <w:rFonts w:ascii="Arial" w:hAnsi="Arial" w:cs="Arial"/>
          <w:color w:val="000000"/>
          <w:sz w:val="24"/>
          <w:szCs w:val="24"/>
        </w:rPr>
        <w:lastRenderedPageBreak/>
        <w:t>funcionamiento</w:t>
      </w:r>
      <w:r w:rsidR="005976FA" w:rsidRPr="003522C1">
        <w:rPr>
          <w:rFonts w:ascii="Arial" w:hAnsi="Arial" w:cs="Arial"/>
          <w:color w:val="000000"/>
          <w:sz w:val="24"/>
          <w:szCs w:val="24"/>
        </w:rPr>
        <w:t xml:space="preserve"> del sistema de protección </w:t>
      </w:r>
      <w:r w:rsidR="00B33DF4" w:rsidRPr="003522C1">
        <w:rPr>
          <w:rFonts w:ascii="Arial" w:hAnsi="Arial" w:cs="Arial"/>
          <w:color w:val="000000"/>
          <w:sz w:val="24"/>
          <w:szCs w:val="24"/>
        </w:rPr>
        <w:t>de los derechos humanos</w:t>
      </w:r>
      <w:r w:rsidR="0066729D" w:rsidRPr="003522C1">
        <w:rPr>
          <w:rFonts w:ascii="Arial" w:hAnsi="Arial" w:cs="Arial"/>
          <w:color w:val="000000"/>
          <w:sz w:val="24"/>
          <w:szCs w:val="24"/>
        </w:rPr>
        <w:t xml:space="preserve">  en</w:t>
      </w:r>
      <w:r w:rsidR="005C70D3" w:rsidRPr="003522C1">
        <w:rPr>
          <w:rFonts w:ascii="Arial" w:hAnsi="Arial" w:cs="Arial"/>
          <w:color w:val="000000"/>
          <w:sz w:val="24"/>
          <w:szCs w:val="24"/>
        </w:rPr>
        <w:t xml:space="preserve"> beneficio de los ciudadanos,</w:t>
      </w:r>
      <w:r w:rsidR="00101D9B">
        <w:rPr>
          <w:rFonts w:ascii="Arial" w:hAnsi="Arial" w:cs="Arial"/>
          <w:color w:val="000000"/>
          <w:sz w:val="24"/>
          <w:szCs w:val="24"/>
        </w:rPr>
        <w:t xml:space="preserve"> </w:t>
      </w:r>
      <w:r w:rsidR="001134BF" w:rsidRPr="003522C1">
        <w:rPr>
          <w:rFonts w:ascii="Arial" w:hAnsi="Arial" w:cs="Arial"/>
          <w:color w:val="000000"/>
          <w:sz w:val="24"/>
          <w:szCs w:val="24"/>
        </w:rPr>
        <w:t xml:space="preserve"> </w:t>
      </w:r>
      <w:r w:rsidR="005C70D3" w:rsidRPr="003522C1">
        <w:rPr>
          <w:rFonts w:ascii="Arial" w:hAnsi="Arial" w:cs="Arial"/>
          <w:color w:val="000000"/>
          <w:sz w:val="24"/>
          <w:szCs w:val="24"/>
        </w:rPr>
        <w:t xml:space="preserve">enseñanza que </w:t>
      </w:r>
      <w:r w:rsidR="001134BF" w:rsidRPr="003522C1">
        <w:rPr>
          <w:rFonts w:ascii="Arial" w:hAnsi="Arial" w:cs="Arial"/>
          <w:color w:val="000000"/>
          <w:sz w:val="24"/>
          <w:szCs w:val="24"/>
        </w:rPr>
        <w:t>se debería imitar.</w:t>
      </w:r>
      <w:r w:rsidR="008C3588" w:rsidRPr="003522C1">
        <w:rPr>
          <w:rFonts w:ascii="Arial" w:hAnsi="Arial" w:cs="Arial"/>
          <w:color w:val="000000"/>
          <w:sz w:val="24"/>
          <w:szCs w:val="24"/>
        </w:rPr>
        <w:t> </w:t>
      </w:r>
    </w:p>
    <w:p w:rsidR="00B40708" w:rsidRDefault="00B40708" w:rsidP="00910107">
      <w:pPr>
        <w:autoSpaceDE w:val="0"/>
        <w:autoSpaceDN w:val="0"/>
        <w:adjustRightInd w:val="0"/>
        <w:spacing w:after="0" w:line="360" w:lineRule="auto"/>
        <w:jc w:val="both"/>
        <w:rPr>
          <w:rFonts w:ascii="Arial" w:hAnsi="Arial" w:cs="Arial"/>
          <w:color w:val="000000"/>
          <w:sz w:val="24"/>
          <w:szCs w:val="24"/>
        </w:rPr>
      </w:pPr>
    </w:p>
    <w:p w:rsidR="00910107" w:rsidRDefault="00910107" w:rsidP="00910107">
      <w:pPr>
        <w:autoSpaceDE w:val="0"/>
        <w:autoSpaceDN w:val="0"/>
        <w:adjustRightInd w:val="0"/>
        <w:spacing w:after="0" w:line="360" w:lineRule="auto"/>
        <w:jc w:val="both"/>
        <w:rPr>
          <w:rFonts w:ascii="Arial" w:hAnsi="Arial" w:cs="Arial"/>
          <w:color w:val="000000"/>
          <w:sz w:val="24"/>
          <w:szCs w:val="24"/>
        </w:rPr>
      </w:pPr>
    </w:p>
    <w:p w:rsidR="00910107" w:rsidRDefault="00910107" w:rsidP="00910107">
      <w:pPr>
        <w:autoSpaceDE w:val="0"/>
        <w:autoSpaceDN w:val="0"/>
        <w:adjustRightInd w:val="0"/>
        <w:spacing w:after="0" w:line="360" w:lineRule="auto"/>
        <w:jc w:val="both"/>
        <w:rPr>
          <w:rFonts w:ascii="Arial" w:hAnsi="Arial" w:cs="Arial"/>
          <w:color w:val="000000"/>
          <w:sz w:val="24"/>
          <w:szCs w:val="24"/>
        </w:rPr>
      </w:pPr>
    </w:p>
    <w:p w:rsidR="00910107" w:rsidRDefault="00910107" w:rsidP="00910107">
      <w:pPr>
        <w:autoSpaceDE w:val="0"/>
        <w:autoSpaceDN w:val="0"/>
        <w:adjustRightInd w:val="0"/>
        <w:spacing w:after="0" w:line="360" w:lineRule="auto"/>
        <w:jc w:val="both"/>
        <w:rPr>
          <w:rFonts w:ascii="Arial" w:hAnsi="Arial" w:cs="Arial"/>
          <w:color w:val="000000"/>
          <w:sz w:val="24"/>
          <w:szCs w:val="24"/>
        </w:rPr>
      </w:pPr>
    </w:p>
    <w:p w:rsidR="00910107" w:rsidRDefault="00910107" w:rsidP="00910107">
      <w:pPr>
        <w:autoSpaceDE w:val="0"/>
        <w:autoSpaceDN w:val="0"/>
        <w:adjustRightInd w:val="0"/>
        <w:spacing w:after="0" w:line="360" w:lineRule="auto"/>
        <w:jc w:val="both"/>
        <w:rPr>
          <w:rFonts w:ascii="Arial" w:hAnsi="Arial" w:cs="Arial"/>
          <w:color w:val="000000"/>
          <w:sz w:val="24"/>
          <w:szCs w:val="24"/>
        </w:rPr>
      </w:pPr>
    </w:p>
    <w:p w:rsidR="00910107" w:rsidRDefault="00910107" w:rsidP="00910107">
      <w:pPr>
        <w:autoSpaceDE w:val="0"/>
        <w:autoSpaceDN w:val="0"/>
        <w:adjustRightInd w:val="0"/>
        <w:spacing w:after="0" w:line="360" w:lineRule="auto"/>
        <w:jc w:val="both"/>
        <w:rPr>
          <w:rFonts w:ascii="Arial" w:hAnsi="Arial" w:cs="Arial"/>
          <w:color w:val="000000"/>
          <w:sz w:val="24"/>
          <w:szCs w:val="24"/>
        </w:rPr>
      </w:pPr>
    </w:p>
    <w:p w:rsidR="00910107" w:rsidRDefault="00910107" w:rsidP="00910107">
      <w:pPr>
        <w:autoSpaceDE w:val="0"/>
        <w:autoSpaceDN w:val="0"/>
        <w:adjustRightInd w:val="0"/>
        <w:spacing w:after="0" w:line="360" w:lineRule="auto"/>
        <w:jc w:val="both"/>
        <w:rPr>
          <w:rFonts w:ascii="Arial" w:hAnsi="Arial" w:cs="Arial"/>
          <w:color w:val="000000"/>
          <w:sz w:val="24"/>
          <w:szCs w:val="24"/>
        </w:rPr>
      </w:pPr>
    </w:p>
    <w:p w:rsidR="00910107" w:rsidRDefault="00910107" w:rsidP="00910107">
      <w:pPr>
        <w:autoSpaceDE w:val="0"/>
        <w:autoSpaceDN w:val="0"/>
        <w:adjustRightInd w:val="0"/>
        <w:spacing w:after="0" w:line="360" w:lineRule="auto"/>
        <w:jc w:val="both"/>
        <w:rPr>
          <w:rFonts w:ascii="Arial" w:hAnsi="Arial" w:cs="Arial"/>
          <w:color w:val="000000"/>
          <w:sz w:val="24"/>
          <w:szCs w:val="24"/>
        </w:rPr>
      </w:pPr>
    </w:p>
    <w:p w:rsidR="00910107" w:rsidRDefault="00910107" w:rsidP="00910107">
      <w:pPr>
        <w:autoSpaceDE w:val="0"/>
        <w:autoSpaceDN w:val="0"/>
        <w:adjustRightInd w:val="0"/>
        <w:spacing w:after="0" w:line="360" w:lineRule="auto"/>
        <w:jc w:val="both"/>
        <w:rPr>
          <w:rFonts w:ascii="Arial" w:hAnsi="Arial" w:cs="Arial"/>
          <w:color w:val="000000"/>
          <w:sz w:val="24"/>
          <w:szCs w:val="24"/>
        </w:rPr>
      </w:pPr>
    </w:p>
    <w:p w:rsidR="00910107" w:rsidRDefault="00910107" w:rsidP="00910107">
      <w:pPr>
        <w:autoSpaceDE w:val="0"/>
        <w:autoSpaceDN w:val="0"/>
        <w:adjustRightInd w:val="0"/>
        <w:spacing w:after="0" w:line="360" w:lineRule="auto"/>
        <w:jc w:val="both"/>
        <w:rPr>
          <w:rFonts w:ascii="Arial" w:hAnsi="Arial" w:cs="Arial"/>
          <w:color w:val="000000"/>
          <w:sz w:val="24"/>
          <w:szCs w:val="24"/>
        </w:rPr>
      </w:pPr>
    </w:p>
    <w:p w:rsidR="00910107" w:rsidRDefault="00910107" w:rsidP="00910107">
      <w:pPr>
        <w:autoSpaceDE w:val="0"/>
        <w:autoSpaceDN w:val="0"/>
        <w:adjustRightInd w:val="0"/>
        <w:spacing w:after="0" w:line="360" w:lineRule="auto"/>
        <w:jc w:val="both"/>
        <w:rPr>
          <w:rFonts w:ascii="Arial" w:hAnsi="Arial" w:cs="Arial"/>
          <w:color w:val="000000"/>
          <w:sz w:val="24"/>
          <w:szCs w:val="24"/>
        </w:rPr>
      </w:pPr>
    </w:p>
    <w:p w:rsidR="00910107" w:rsidRDefault="00910107" w:rsidP="00910107">
      <w:pPr>
        <w:autoSpaceDE w:val="0"/>
        <w:autoSpaceDN w:val="0"/>
        <w:adjustRightInd w:val="0"/>
        <w:spacing w:after="0" w:line="360" w:lineRule="auto"/>
        <w:jc w:val="both"/>
        <w:rPr>
          <w:rFonts w:ascii="Arial" w:hAnsi="Arial" w:cs="Arial"/>
          <w:color w:val="000000"/>
          <w:sz w:val="24"/>
          <w:szCs w:val="24"/>
        </w:rPr>
      </w:pPr>
    </w:p>
    <w:p w:rsidR="00910107" w:rsidRDefault="00910107" w:rsidP="00910107">
      <w:pPr>
        <w:autoSpaceDE w:val="0"/>
        <w:autoSpaceDN w:val="0"/>
        <w:adjustRightInd w:val="0"/>
        <w:spacing w:after="0" w:line="360" w:lineRule="auto"/>
        <w:jc w:val="both"/>
        <w:rPr>
          <w:rFonts w:ascii="Arial" w:hAnsi="Arial" w:cs="Arial"/>
          <w:color w:val="000000"/>
          <w:sz w:val="24"/>
          <w:szCs w:val="24"/>
        </w:rPr>
      </w:pPr>
    </w:p>
    <w:p w:rsidR="00910107" w:rsidRDefault="00910107" w:rsidP="00910107">
      <w:pPr>
        <w:autoSpaceDE w:val="0"/>
        <w:autoSpaceDN w:val="0"/>
        <w:adjustRightInd w:val="0"/>
        <w:spacing w:after="0" w:line="360" w:lineRule="auto"/>
        <w:jc w:val="both"/>
        <w:rPr>
          <w:rFonts w:ascii="Arial" w:hAnsi="Arial" w:cs="Arial"/>
          <w:color w:val="000000"/>
          <w:sz w:val="24"/>
          <w:szCs w:val="24"/>
        </w:rPr>
      </w:pPr>
    </w:p>
    <w:p w:rsidR="00910107" w:rsidRDefault="00910107" w:rsidP="00910107">
      <w:pPr>
        <w:autoSpaceDE w:val="0"/>
        <w:autoSpaceDN w:val="0"/>
        <w:adjustRightInd w:val="0"/>
        <w:spacing w:after="0" w:line="360" w:lineRule="auto"/>
        <w:jc w:val="both"/>
        <w:rPr>
          <w:rFonts w:ascii="Arial" w:hAnsi="Arial" w:cs="Arial"/>
          <w:color w:val="000000"/>
          <w:sz w:val="24"/>
          <w:szCs w:val="24"/>
        </w:rPr>
      </w:pPr>
    </w:p>
    <w:p w:rsidR="00910107" w:rsidRDefault="00910107" w:rsidP="00910107">
      <w:pPr>
        <w:autoSpaceDE w:val="0"/>
        <w:autoSpaceDN w:val="0"/>
        <w:adjustRightInd w:val="0"/>
        <w:spacing w:after="0" w:line="360" w:lineRule="auto"/>
        <w:jc w:val="both"/>
        <w:rPr>
          <w:rFonts w:ascii="Arial" w:hAnsi="Arial" w:cs="Arial"/>
          <w:color w:val="000000"/>
          <w:sz w:val="24"/>
          <w:szCs w:val="24"/>
        </w:rPr>
      </w:pPr>
    </w:p>
    <w:p w:rsidR="00910107" w:rsidRDefault="00910107" w:rsidP="00910107">
      <w:pPr>
        <w:autoSpaceDE w:val="0"/>
        <w:autoSpaceDN w:val="0"/>
        <w:adjustRightInd w:val="0"/>
        <w:spacing w:after="0" w:line="360" w:lineRule="auto"/>
        <w:jc w:val="both"/>
        <w:rPr>
          <w:rFonts w:ascii="Arial" w:hAnsi="Arial" w:cs="Arial"/>
          <w:color w:val="000000"/>
          <w:sz w:val="24"/>
          <w:szCs w:val="24"/>
        </w:rPr>
      </w:pPr>
    </w:p>
    <w:p w:rsidR="00910107" w:rsidRDefault="00910107" w:rsidP="00910107">
      <w:pPr>
        <w:autoSpaceDE w:val="0"/>
        <w:autoSpaceDN w:val="0"/>
        <w:adjustRightInd w:val="0"/>
        <w:spacing w:after="0" w:line="360" w:lineRule="auto"/>
        <w:jc w:val="both"/>
        <w:rPr>
          <w:rFonts w:ascii="Arial" w:hAnsi="Arial" w:cs="Arial"/>
          <w:color w:val="000000"/>
          <w:sz w:val="24"/>
          <w:szCs w:val="24"/>
        </w:rPr>
      </w:pPr>
    </w:p>
    <w:p w:rsidR="00910107" w:rsidRDefault="00910107" w:rsidP="00910107">
      <w:pPr>
        <w:autoSpaceDE w:val="0"/>
        <w:autoSpaceDN w:val="0"/>
        <w:adjustRightInd w:val="0"/>
        <w:spacing w:after="0" w:line="360" w:lineRule="auto"/>
        <w:jc w:val="both"/>
        <w:rPr>
          <w:rFonts w:ascii="Arial" w:hAnsi="Arial" w:cs="Arial"/>
          <w:color w:val="000000"/>
          <w:sz w:val="24"/>
          <w:szCs w:val="24"/>
        </w:rPr>
      </w:pPr>
    </w:p>
    <w:p w:rsidR="00910107" w:rsidRDefault="00910107" w:rsidP="00910107">
      <w:pPr>
        <w:autoSpaceDE w:val="0"/>
        <w:autoSpaceDN w:val="0"/>
        <w:adjustRightInd w:val="0"/>
        <w:spacing w:after="0" w:line="360" w:lineRule="auto"/>
        <w:jc w:val="both"/>
        <w:rPr>
          <w:rFonts w:ascii="Arial" w:hAnsi="Arial" w:cs="Arial"/>
          <w:color w:val="000000"/>
          <w:sz w:val="24"/>
          <w:szCs w:val="24"/>
        </w:rPr>
      </w:pPr>
    </w:p>
    <w:p w:rsidR="00910107" w:rsidRDefault="00910107" w:rsidP="00910107">
      <w:pPr>
        <w:autoSpaceDE w:val="0"/>
        <w:autoSpaceDN w:val="0"/>
        <w:adjustRightInd w:val="0"/>
        <w:spacing w:after="0" w:line="360" w:lineRule="auto"/>
        <w:jc w:val="both"/>
        <w:rPr>
          <w:rFonts w:ascii="Arial" w:hAnsi="Arial" w:cs="Arial"/>
          <w:color w:val="000000"/>
          <w:sz w:val="24"/>
          <w:szCs w:val="24"/>
        </w:rPr>
      </w:pPr>
    </w:p>
    <w:p w:rsidR="00910107" w:rsidRDefault="00910107" w:rsidP="00910107">
      <w:pPr>
        <w:autoSpaceDE w:val="0"/>
        <w:autoSpaceDN w:val="0"/>
        <w:adjustRightInd w:val="0"/>
        <w:spacing w:after="0" w:line="360" w:lineRule="auto"/>
        <w:jc w:val="both"/>
        <w:rPr>
          <w:rFonts w:ascii="Arial" w:hAnsi="Arial" w:cs="Arial"/>
          <w:color w:val="000000"/>
          <w:sz w:val="24"/>
          <w:szCs w:val="24"/>
        </w:rPr>
      </w:pPr>
    </w:p>
    <w:p w:rsidR="00910107" w:rsidRDefault="00910107" w:rsidP="00910107">
      <w:pPr>
        <w:autoSpaceDE w:val="0"/>
        <w:autoSpaceDN w:val="0"/>
        <w:adjustRightInd w:val="0"/>
        <w:spacing w:after="0" w:line="360" w:lineRule="auto"/>
        <w:jc w:val="both"/>
        <w:rPr>
          <w:rFonts w:ascii="Arial" w:hAnsi="Arial" w:cs="Arial"/>
          <w:color w:val="000000"/>
          <w:sz w:val="24"/>
          <w:szCs w:val="24"/>
        </w:rPr>
      </w:pPr>
    </w:p>
    <w:p w:rsidR="00910107" w:rsidRDefault="00910107" w:rsidP="00910107">
      <w:pPr>
        <w:autoSpaceDE w:val="0"/>
        <w:autoSpaceDN w:val="0"/>
        <w:adjustRightInd w:val="0"/>
        <w:spacing w:after="0" w:line="360" w:lineRule="auto"/>
        <w:jc w:val="both"/>
        <w:rPr>
          <w:rFonts w:ascii="Arial" w:hAnsi="Arial" w:cs="Arial"/>
          <w:color w:val="000000"/>
          <w:sz w:val="24"/>
          <w:szCs w:val="24"/>
        </w:rPr>
      </w:pPr>
    </w:p>
    <w:p w:rsidR="00910107" w:rsidRDefault="00910107" w:rsidP="00910107">
      <w:pPr>
        <w:autoSpaceDE w:val="0"/>
        <w:autoSpaceDN w:val="0"/>
        <w:adjustRightInd w:val="0"/>
        <w:spacing w:after="0" w:line="360" w:lineRule="auto"/>
        <w:jc w:val="both"/>
        <w:rPr>
          <w:rFonts w:ascii="Arial" w:hAnsi="Arial" w:cs="Arial"/>
          <w:color w:val="000000"/>
          <w:sz w:val="24"/>
          <w:szCs w:val="24"/>
        </w:rPr>
      </w:pPr>
    </w:p>
    <w:p w:rsidR="00B40708" w:rsidRDefault="00B40708" w:rsidP="00910107">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lastRenderedPageBreak/>
        <w:t>6).-</w:t>
      </w:r>
      <w:proofErr w:type="gramStart"/>
      <w:r>
        <w:rPr>
          <w:rFonts w:ascii="Arial" w:hAnsi="Arial" w:cs="Arial"/>
          <w:color w:val="000000"/>
          <w:sz w:val="24"/>
          <w:szCs w:val="24"/>
        </w:rPr>
        <w:t>BIBLIOGRAFIA.-</w:t>
      </w:r>
      <w:proofErr w:type="gramEnd"/>
    </w:p>
    <w:p w:rsidR="00EB3FD6" w:rsidRPr="004C1459" w:rsidRDefault="00EB3FD6" w:rsidP="00910107">
      <w:pPr>
        <w:pStyle w:val="Prrafodelista"/>
        <w:spacing w:line="360" w:lineRule="auto"/>
        <w:ind w:left="0"/>
        <w:jc w:val="both"/>
        <w:rPr>
          <w:rFonts w:ascii="Arial" w:hAnsi="Arial" w:cs="Arial"/>
          <w:color w:val="364E60"/>
          <w:sz w:val="24"/>
          <w:szCs w:val="24"/>
        </w:rPr>
      </w:pPr>
      <w:r>
        <w:rPr>
          <w:rFonts w:ascii="Arial" w:hAnsi="Arial" w:cs="Arial"/>
          <w:sz w:val="24"/>
          <w:szCs w:val="24"/>
        </w:rPr>
        <w:t>1</w:t>
      </w:r>
      <w:r w:rsidRPr="004C1459">
        <w:rPr>
          <w:rFonts w:ascii="Arial" w:hAnsi="Arial" w:cs="Arial"/>
          <w:sz w:val="24"/>
          <w:szCs w:val="24"/>
        </w:rPr>
        <w:t xml:space="preserve">.- </w:t>
      </w:r>
      <w:r>
        <w:rPr>
          <w:rFonts w:ascii="Arial" w:hAnsi="Arial" w:cs="Arial"/>
          <w:sz w:val="24"/>
          <w:szCs w:val="24"/>
        </w:rPr>
        <w:t>(</w:t>
      </w:r>
      <w:r w:rsidRPr="004C1459">
        <w:rPr>
          <w:rFonts w:ascii="Arial" w:hAnsi="Arial" w:cs="Arial"/>
          <w:sz w:val="24"/>
          <w:szCs w:val="24"/>
        </w:rPr>
        <w:t xml:space="preserve">Ficha Técnica: </w:t>
      </w:r>
      <w:proofErr w:type="spellStart"/>
      <w:r w:rsidRPr="004C1459">
        <w:rPr>
          <w:rFonts w:ascii="Arial" w:hAnsi="Arial" w:cs="Arial"/>
          <w:sz w:val="24"/>
          <w:szCs w:val="24"/>
        </w:rPr>
        <w:t>Fontevecchia</w:t>
      </w:r>
      <w:proofErr w:type="spellEnd"/>
      <w:r w:rsidRPr="004C1459">
        <w:rPr>
          <w:rFonts w:ascii="Arial" w:hAnsi="Arial" w:cs="Arial"/>
          <w:sz w:val="24"/>
          <w:szCs w:val="24"/>
        </w:rPr>
        <w:t xml:space="preserve"> y D’ </w:t>
      </w:r>
      <w:proofErr w:type="spellStart"/>
      <w:r w:rsidRPr="004C1459">
        <w:rPr>
          <w:rFonts w:ascii="Arial" w:hAnsi="Arial" w:cs="Arial"/>
          <w:sz w:val="24"/>
          <w:szCs w:val="24"/>
        </w:rPr>
        <w:t>Amico</w:t>
      </w:r>
      <w:proofErr w:type="spellEnd"/>
      <w:r w:rsidRPr="004C1459">
        <w:rPr>
          <w:rFonts w:ascii="Arial" w:hAnsi="Arial" w:cs="Arial"/>
          <w:sz w:val="24"/>
          <w:szCs w:val="24"/>
        </w:rPr>
        <w:t xml:space="preserve"> vs Argentina (Corte IDH)</w:t>
      </w:r>
      <w:r>
        <w:rPr>
          <w:rFonts w:ascii="Arial" w:hAnsi="Arial" w:cs="Arial"/>
          <w:sz w:val="24"/>
          <w:szCs w:val="24"/>
        </w:rPr>
        <w:t xml:space="preserve"> publicación </w:t>
      </w:r>
      <w:proofErr w:type="spellStart"/>
      <w:r>
        <w:rPr>
          <w:rFonts w:ascii="Arial" w:hAnsi="Arial" w:cs="Arial"/>
          <w:sz w:val="24"/>
          <w:szCs w:val="24"/>
        </w:rPr>
        <w:t>on</w:t>
      </w:r>
      <w:proofErr w:type="spellEnd"/>
      <w:r>
        <w:rPr>
          <w:rFonts w:ascii="Arial" w:hAnsi="Arial" w:cs="Arial"/>
          <w:sz w:val="24"/>
          <w:szCs w:val="24"/>
        </w:rPr>
        <w:t xml:space="preserve"> line)</w:t>
      </w:r>
      <w:r w:rsidRPr="004C1459">
        <w:rPr>
          <w:rFonts w:ascii="Arial" w:hAnsi="Arial" w:cs="Arial"/>
          <w:sz w:val="24"/>
          <w:szCs w:val="24"/>
        </w:rPr>
        <w:t>.</w:t>
      </w:r>
    </w:p>
    <w:p w:rsidR="00EB3FD6" w:rsidRPr="00EB3FD6" w:rsidRDefault="00EB3FD6" w:rsidP="00910107">
      <w:pPr>
        <w:pStyle w:val="Prrafodelista"/>
        <w:spacing w:line="360" w:lineRule="auto"/>
        <w:ind w:left="0" w:firstLine="21"/>
        <w:jc w:val="both"/>
        <w:rPr>
          <w:rFonts w:ascii="Arial" w:hAnsi="Arial" w:cs="Arial"/>
          <w:sz w:val="24"/>
          <w:szCs w:val="24"/>
        </w:rPr>
      </w:pPr>
      <w:r>
        <w:rPr>
          <w:rFonts w:ascii="Arial" w:hAnsi="Arial" w:cs="Arial"/>
          <w:sz w:val="24"/>
          <w:szCs w:val="24"/>
          <w:lang w:val="es-AR"/>
        </w:rPr>
        <w:t>2.</w:t>
      </w:r>
      <w:r w:rsidRPr="004C1459">
        <w:rPr>
          <w:rFonts w:ascii="Arial" w:hAnsi="Arial" w:cs="Arial"/>
          <w:sz w:val="24"/>
          <w:szCs w:val="24"/>
          <w:lang w:val="es-AR"/>
        </w:rPr>
        <w:t>-</w:t>
      </w:r>
      <w:r w:rsidRPr="00ED2A00">
        <w:rPr>
          <w:rFonts w:ascii="Arial" w:hAnsi="Arial" w:cs="Arial"/>
          <w:sz w:val="24"/>
          <w:szCs w:val="24"/>
        </w:rPr>
        <w:t>Cuadernillo</w:t>
      </w:r>
      <w:r>
        <w:rPr>
          <w:rFonts w:ascii="Arial" w:hAnsi="Arial" w:cs="Arial"/>
          <w:sz w:val="24"/>
          <w:szCs w:val="24"/>
        </w:rPr>
        <w:t xml:space="preserve"> de Jurisprudencia de la Corte Interamericana de Derechos Humanos N°7:</w:t>
      </w:r>
      <w:r w:rsidRPr="00EB3FD6">
        <w:rPr>
          <w:rFonts w:ascii="Arial" w:hAnsi="Arial" w:cs="Arial"/>
          <w:sz w:val="24"/>
          <w:szCs w:val="24"/>
        </w:rPr>
        <w:t xml:space="preserve"> </w:t>
      </w:r>
      <w:r>
        <w:rPr>
          <w:rFonts w:ascii="Arial" w:hAnsi="Arial" w:cs="Arial"/>
          <w:sz w:val="24"/>
          <w:szCs w:val="24"/>
        </w:rPr>
        <w:t xml:space="preserve">“Control de Convencionalidad” </w:t>
      </w:r>
      <w:r w:rsidRPr="00EB3FD6">
        <w:rPr>
          <w:rFonts w:ascii="Arial" w:hAnsi="Arial" w:cs="Arial"/>
          <w:sz w:val="24"/>
          <w:szCs w:val="24"/>
        </w:rPr>
        <w:t xml:space="preserve">-publicación </w:t>
      </w:r>
      <w:proofErr w:type="spellStart"/>
      <w:r w:rsidRPr="00EB3FD6">
        <w:rPr>
          <w:rFonts w:ascii="Arial" w:hAnsi="Arial" w:cs="Arial"/>
          <w:sz w:val="24"/>
          <w:szCs w:val="24"/>
        </w:rPr>
        <w:t>on</w:t>
      </w:r>
      <w:proofErr w:type="spellEnd"/>
      <w:r w:rsidRPr="00EB3FD6">
        <w:rPr>
          <w:rFonts w:ascii="Arial" w:hAnsi="Arial" w:cs="Arial"/>
          <w:sz w:val="24"/>
          <w:szCs w:val="24"/>
        </w:rPr>
        <w:t xml:space="preserve"> </w:t>
      </w:r>
      <w:proofErr w:type="gramStart"/>
      <w:r w:rsidRPr="00EB3FD6">
        <w:rPr>
          <w:rFonts w:ascii="Arial" w:hAnsi="Arial" w:cs="Arial"/>
          <w:sz w:val="24"/>
          <w:szCs w:val="24"/>
        </w:rPr>
        <w:t>line.-</w:t>
      </w:r>
      <w:proofErr w:type="gramEnd"/>
    </w:p>
    <w:p w:rsidR="000B5649" w:rsidRDefault="003E3F2D" w:rsidP="00910107">
      <w:pPr>
        <w:pStyle w:val="Prrafodelista"/>
        <w:spacing w:line="360" w:lineRule="auto"/>
        <w:ind w:left="0"/>
        <w:jc w:val="both"/>
        <w:rPr>
          <w:rFonts w:ascii="Arial" w:hAnsi="Arial" w:cs="Arial"/>
        </w:rPr>
      </w:pPr>
      <w:r>
        <w:rPr>
          <w:rFonts w:ascii="Arial" w:hAnsi="Arial" w:cs="Arial"/>
          <w:sz w:val="24"/>
          <w:szCs w:val="24"/>
          <w:lang w:val="es-AR"/>
        </w:rPr>
        <w:t>3.-(</w:t>
      </w:r>
      <w:proofErr w:type="spellStart"/>
      <w:r>
        <w:rPr>
          <w:rFonts w:ascii="Arial" w:hAnsi="Arial" w:cs="Arial"/>
          <w:sz w:val="24"/>
          <w:szCs w:val="24"/>
          <w:lang w:val="es-AR"/>
        </w:rPr>
        <w:t>Calogero</w:t>
      </w:r>
      <w:proofErr w:type="spellEnd"/>
      <w:r>
        <w:rPr>
          <w:rFonts w:ascii="Arial" w:hAnsi="Arial" w:cs="Arial"/>
          <w:sz w:val="24"/>
          <w:szCs w:val="24"/>
          <w:lang w:val="es-AR"/>
        </w:rPr>
        <w:t xml:space="preserve"> </w:t>
      </w:r>
      <w:proofErr w:type="spellStart"/>
      <w:r>
        <w:rPr>
          <w:rFonts w:ascii="Arial" w:hAnsi="Arial" w:cs="Arial"/>
          <w:sz w:val="24"/>
          <w:szCs w:val="24"/>
          <w:lang w:val="es-AR"/>
        </w:rPr>
        <w:t>P</w:t>
      </w:r>
      <w:r w:rsidRPr="004C1459">
        <w:rPr>
          <w:rFonts w:ascii="Arial" w:hAnsi="Arial" w:cs="Arial"/>
          <w:sz w:val="24"/>
          <w:szCs w:val="24"/>
          <w:lang w:val="es-AR"/>
        </w:rPr>
        <w:t>i</w:t>
      </w:r>
      <w:r>
        <w:rPr>
          <w:rFonts w:ascii="Arial" w:hAnsi="Arial" w:cs="Arial"/>
          <w:sz w:val="24"/>
          <w:szCs w:val="24"/>
          <w:lang w:val="es-AR"/>
        </w:rPr>
        <w:t>zzolo</w:t>
      </w:r>
      <w:proofErr w:type="spellEnd"/>
      <w:r>
        <w:rPr>
          <w:rFonts w:ascii="Arial" w:hAnsi="Arial" w:cs="Arial"/>
          <w:sz w:val="24"/>
          <w:szCs w:val="24"/>
          <w:lang w:val="es-AR"/>
        </w:rPr>
        <w:t>,</w:t>
      </w:r>
      <w:r w:rsidRPr="003E3F2D">
        <w:rPr>
          <w:rFonts w:ascii="Arial" w:hAnsi="Arial" w:cs="Arial"/>
          <w:sz w:val="24"/>
          <w:szCs w:val="24"/>
          <w:lang w:val="es-AR"/>
        </w:rPr>
        <w:t xml:space="preserve"> </w:t>
      </w:r>
      <w:r>
        <w:rPr>
          <w:rFonts w:ascii="Arial" w:hAnsi="Arial" w:cs="Arial"/>
          <w:sz w:val="24"/>
          <w:szCs w:val="24"/>
          <w:lang w:val="es-AR"/>
        </w:rPr>
        <w:t>“Dialogo o Monó</w:t>
      </w:r>
      <w:r w:rsidRPr="004C1459">
        <w:rPr>
          <w:rFonts w:ascii="Arial" w:hAnsi="Arial" w:cs="Arial"/>
          <w:sz w:val="24"/>
          <w:szCs w:val="24"/>
          <w:lang w:val="es-AR"/>
        </w:rPr>
        <w:t>logo</w:t>
      </w:r>
      <w:r>
        <w:rPr>
          <w:rFonts w:ascii="Arial" w:hAnsi="Arial" w:cs="Arial"/>
          <w:sz w:val="24"/>
          <w:szCs w:val="24"/>
          <w:lang w:val="es-AR"/>
        </w:rPr>
        <w:t xml:space="preserve">: La </w:t>
      </w:r>
      <w:r w:rsidRPr="006A60C6">
        <w:rPr>
          <w:rFonts w:ascii="Arial" w:hAnsi="Arial" w:cs="Arial"/>
        </w:rPr>
        <w:t>C</w:t>
      </w:r>
      <w:r>
        <w:rPr>
          <w:rFonts w:ascii="Arial" w:hAnsi="Arial" w:cs="Arial"/>
        </w:rPr>
        <w:t>orte Interamericana de Derechos Humanos y el C</w:t>
      </w:r>
      <w:r w:rsidRPr="006A60C6">
        <w:rPr>
          <w:rFonts w:ascii="Arial" w:hAnsi="Arial" w:cs="Arial"/>
        </w:rPr>
        <w:t>ontrol de Convencionalidad</w:t>
      </w:r>
      <w:r>
        <w:rPr>
          <w:rFonts w:ascii="Arial" w:hAnsi="Arial" w:cs="Arial"/>
        </w:rPr>
        <w:t>- El Caso Argentino”</w:t>
      </w:r>
      <w:r w:rsidR="000B5649">
        <w:rPr>
          <w:rFonts w:ascii="Arial" w:hAnsi="Arial" w:cs="Arial"/>
        </w:rPr>
        <w:t xml:space="preserve">-La Corte Interamericana como “Interprete Final de la Convención Americana sobre Derechos Humanos: El Control de Convencionalidad”, </w:t>
      </w:r>
      <w:proofErr w:type="spellStart"/>
      <w:r w:rsidR="000B5649">
        <w:rPr>
          <w:rFonts w:ascii="Arial" w:hAnsi="Arial" w:cs="Arial"/>
        </w:rPr>
        <w:t>Intersentia</w:t>
      </w:r>
      <w:proofErr w:type="spellEnd"/>
      <w:r w:rsidR="000B5649">
        <w:rPr>
          <w:rFonts w:ascii="Arial" w:hAnsi="Arial" w:cs="Arial"/>
        </w:rPr>
        <w:t xml:space="preserve"> pag</w:t>
      </w:r>
      <w:r>
        <w:rPr>
          <w:rFonts w:ascii="Arial" w:hAnsi="Arial" w:cs="Arial"/>
        </w:rPr>
        <w:t>.</w:t>
      </w:r>
      <w:r w:rsidR="000B5649">
        <w:rPr>
          <w:rFonts w:ascii="Arial" w:hAnsi="Arial" w:cs="Arial"/>
        </w:rPr>
        <w:t>195)</w:t>
      </w:r>
    </w:p>
    <w:p w:rsidR="00EB3FD6" w:rsidRPr="000B5649" w:rsidRDefault="00EB3FD6" w:rsidP="00910107">
      <w:pPr>
        <w:pStyle w:val="Prrafodelista"/>
        <w:spacing w:line="360" w:lineRule="auto"/>
        <w:ind w:left="0"/>
        <w:jc w:val="both"/>
        <w:rPr>
          <w:rFonts w:ascii="Arial" w:hAnsi="Arial" w:cs="Arial"/>
          <w:sz w:val="24"/>
          <w:szCs w:val="24"/>
          <w:lang w:val="es-AR"/>
        </w:rPr>
      </w:pPr>
      <w:r>
        <w:rPr>
          <w:rFonts w:ascii="Arial" w:hAnsi="Arial" w:cs="Arial"/>
          <w:b/>
        </w:rPr>
        <w:t xml:space="preserve"> </w:t>
      </w:r>
      <w:r w:rsidRPr="006A60C6">
        <w:rPr>
          <w:rFonts w:ascii="Arial" w:hAnsi="Arial" w:cs="Arial"/>
        </w:rPr>
        <w:t xml:space="preserve">4.-Lautaro </w:t>
      </w:r>
      <w:proofErr w:type="spellStart"/>
      <w:r w:rsidRPr="006A60C6">
        <w:rPr>
          <w:rFonts w:ascii="Arial" w:hAnsi="Arial" w:cs="Arial"/>
        </w:rPr>
        <w:t>Pittier</w:t>
      </w:r>
      <w:proofErr w:type="spellEnd"/>
      <w:r w:rsidRPr="006A60C6">
        <w:rPr>
          <w:rFonts w:ascii="Arial" w:hAnsi="Arial" w:cs="Arial"/>
        </w:rPr>
        <w:t xml:space="preserve"> </w:t>
      </w:r>
      <w:r w:rsidR="006A60C6">
        <w:rPr>
          <w:rFonts w:ascii="Arial" w:hAnsi="Arial" w:cs="Arial"/>
        </w:rPr>
        <w:t>“</w:t>
      </w:r>
      <w:r w:rsidRPr="006A60C6">
        <w:rPr>
          <w:rFonts w:ascii="Arial" w:hAnsi="Arial" w:cs="Arial"/>
        </w:rPr>
        <w:t>Control de Convencionalidad en la Argentina</w:t>
      </w:r>
      <w:r w:rsidR="006A60C6">
        <w:rPr>
          <w:rFonts w:ascii="Arial" w:hAnsi="Arial" w:cs="Arial"/>
        </w:rPr>
        <w:t>”</w:t>
      </w:r>
      <w:r w:rsidRPr="006A60C6">
        <w:rPr>
          <w:rFonts w:ascii="Arial" w:hAnsi="Arial" w:cs="Arial"/>
        </w:rPr>
        <w:t>.</w:t>
      </w:r>
      <w:r w:rsidR="006A60C6">
        <w:rPr>
          <w:rFonts w:ascii="Arial" w:hAnsi="Arial" w:cs="Arial"/>
        </w:rPr>
        <w:t xml:space="preserve">    </w:t>
      </w:r>
      <w:r w:rsidR="006A60C6" w:rsidRPr="006A60C6">
        <w:rPr>
          <w:rFonts w:ascii="Arial" w:hAnsi="Arial" w:cs="Arial"/>
        </w:rPr>
        <w:t>Revista II Derechos Humanos.</w:t>
      </w:r>
    </w:p>
    <w:p w:rsidR="00EB3FD6" w:rsidRDefault="00C82CEF" w:rsidP="00910107">
      <w:pPr>
        <w:pStyle w:val="Prrafodelista"/>
        <w:spacing w:line="360" w:lineRule="auto"/>
        <w:ind w:left="0"/>
        <w:jc w:val="both"/>
        <w:rPr>
          <w:rFonts w:ascii="Arial" w:hAnsi="Arial" w:cs="Arial"/>
          <w:sz w:val="24"/>
          <w:szCs w:val="24"/>
          <w:lang w:val="es-AR"/>
        </w:rPr>
      </w:pPr>
      <w:r>
        <w:rPr>
          <w:rFonts w:ascii="Arial" w:hAnsi="Arial" w:cs="Arial"/>
          <w:sz w:val="24"/>
          <w:szCs w:val="24"/>
          <w:lang w:val="es-AR"/>
        </w:rPr>
        <w:t>5.-</w:t>
      </w:r>
      <w:proofErr w:type="gramStart"/>
      <w:r>
        <w:rPr>
          <w:rFonts w:ascii="Arial" w:hAnsi="Arial" w:cs="Arial"/>
          <w:sz w:val="24"/>
          <w:szCs w:val="24"/>
          <w:lang w:val="es-AR"/>
        </w:rPr>
        <w:t>Sivia  Eugenia</w:t>
      </w:r>
      <w:proofErr w:type="gramEnd"/>
      <w:r>
        <w:rPr>
          <w:rFonts w:ascii="Arial" w:hAnsi="Arial" w:cs="Arial"/>
          <w:sz w:val="24"/>
          <w:szCs w:val="24"/>
          <w:lang w:val="es-AR"/>
        </w:rPr>
        <w:t xml:space="preserve"> Fernández,</w:t>
      </w:r>
      <w:r w:rsidR="00910107">
        <w:rPr>
          <w:rFonts w:ascii="Arial" w:hAnsi="Arial" w:cs="Arial"/>
          <w:sz w:val="24"/>
          <w:szCs w:val="24"/>
          <w:lang w:val="es-AR"/>
        </w:rPr>
        <w:t xml:space="preserve"> </w:t>
      </w:r>
      <w:r w:rsidR="006F4561">
        <w:rPr>
          <w:rFonts w:ascii="Arial" w:hAnsi="Arial" w:cs="Arial"/>
          <w:sz w:val="24"/>
          <w:szCs w:val="24"/>
          <w:lang w:val="es-AR"/>
        </w:rPr>
        <w:t>“Tratado de Derecho de Niños, Niñas y Adolescentes-Tomo 1,p.116.</w:t>
      </w:r>
    </w:p>
    <w:p w:rsidR="00C82CEF" w:rsidRDefault="00C82CEF" w:rsidP="00910107">
      <w:pPr>
        <w:pStyle w:val="Prrafodelista"/>
        <w:spacing w:line="360" w:lineRule="auto"/>
        <w:ind w:left="0"/>
        <w:jc w:val="both"/>
        <w:rPr>
          <w:rFonts w:ascii="Arial" w:hAnsi="Arial" w:cs="Arial"/>
          <w:sz w:val="24"/>
          <w:szCs w:val="24"/>
          <w:lang w:val="es-AR"/>
        </w:rPr>
      </w:pPr>
      <w:r>
        <w:rPr>
          <w:rFonts w:ascii="Arial" w:hAnsi="Arial" w:cs="Arial"/>
          <w:sz w:val="24"/>
          <w:szCs w:val="24"/>
          <w:lang w:val="es-AR"/>
        </w:rPr>
        <w:t xml:space="preserve">6.- </w:t>
      </w:r>
      <w:r w:rsidR="00ED2A00">
        <w:rPr>
          <w:rFonts w:ascii="Arial" w:hAnsi="Arial" w:cs="Arial"/>
          <w:sz w:val="24"/>
          <w:szCs w:val="24"/>
          <w:lang w:val="es-AR"/>
        </w:rPr>
        <w:t>(</w:t>
      </w:r>
      <w:r>
        <w:rPr>
          <w:rFonts w:ascii="Arial" w:hAnsi="Arial" w:cs="Arial"/>
          <w:sz w:val="24"/>
          <w:szCs w:val="24"/>
          <w:lang w:val="es-AR"/>
        </w:rPr>
        <w:t>Jorge Alejandro Amaya, “Control de Constitucionalidad”, pags.120 y 121</w:t>
      </w:r>
      <w:r w:rsidR="00ED2A00">
        <w:rPr>
          <w:rFonts w:ascii="Arial" w:hAnsi="Arial" w:cs="Arial"/>
          <w:sz w:val="24"/>
          <w:szCs w:val="24"/>
          <w:lang w:val="es-AR"/>
        </w:rPr>
        <w:t>)</w:t>
      </w:r>
      <w:r>
        <w:rPr>
          <w:rFonts w:ascii="Arial" w:hAnsi="Arial" w:cs="Arial"/>
          <w:sz w:val="24"/>
          <w:szCs w:val="24"/>
          <w:lang w:val="es-AR"/>
        </w:rPr>
        <w:t>.</w:t>
      </w:r>
    </w:p>
    <w:p w:rsidR="00910107" w:rsidRDefault="00C82CEF" w:rsidP="00910107">
      <w:pPr>
        <w:pStyle w:val="Prrafodelista"/>
        <w:spacing w:line="360" w:lineRule="auto"/>
        <w:ind w:left="0"/>
        <w:jc w:val="both"/>
        <w:rPr>
          <w:rFonts w:ascii="Arial" w:hAnsi="Arial" w:cs="Arial"/>
          <w:sz w:val="24"/>
          <w:szCs w:val="24"/>
          <w:lang w:val="es-AR"/>
        </w:rPr>
      </w:pPr>
      <w:r>
        <w:rPr>
          <w:rFonts w:ascii="Arial" w:hAnsi="Arial" w:cs="Arial"/>
          <w:sz w:val="24"/>
          <w:szCs w:val="24"/>
          <w:lang w:val="es-AR"/>
        </w:rPr>
        <w:t>7.-</w:t>
      </w:r>
      <w:r w:rsidR="00ED2A00">
        <w:rPr>
          <w:rFonts w:ascii="Arial" w:hAnsi="Arial" w:cs="Arial"/>
          <w:sz w:val="24"/>
          <w:szCs w:val="24"/>
          <w:lang w:val="es-AR"/>
        </w:rPr>
        <w:t>(</w:t>
      </w:r>
      <w:proofErr w:type="spellStart"/>
      <w:r>
        <w:rPr>
          <w:rFonts w:ascii="Arial" w:hAnsi="Arial" w:cs="Arial"/>
          <w:sz w:val="24"/>
          <w:szCs w:val="24"/>
          <w:lang w:val="es-AR"/>
        </w:rPr>
        <w:t>Calogero</w:t>
      </w:r>
      <w:proofErr w:type="spellEnd"/>
      <w:r>
        <w:rPr>
          <w:rFonts w:ascii="Arial" w:hAnsi="Arial" w:cs="Arial"/>
          <w:sz w:val="24"/>
          <w:szCs w:val="24"/>
          <w:lang w:val="es-AR"/>
        </w:rPr>
        <w:t xml:space="preserve"> </w:t>
      </w:r>
      <w:proofErr w:type="spellStart"/>
      <w:r>
        <w:rPr>
          <w:rFonts w:ascii="Arial" w:hAnsi="Arial" w:cs="Arial"/>
          <w:sz w:val="24"/>
          <w:szCs w:val="24"/>
          <w:lang w:val="es-AR"/>
        </w:rPr>
        <w:t>Pizzolo</w:t>
      </w:r>
      <w:proofErr w:type="spellEnd"/>
      <w:r>
        <w:rPr>
          <w:rFonts w:ascii="Arial" w:hAnsi="Arial" w:cs="Arial"/>
          <w:sz w:val="24"/>
          <w:szCs w:val="24"/>
          <w:lang w:val="es-AR"/>
        </w:rPr>
        <w:t xml:space="preserve">, “El Dialogo Interjurisdiccional: </w:t>
      </w:r>
      <w:proofErr w:type="gramStart"/>
      <w:r>
        <w:rPr>
          <w:rFonts w:ascii="Arial" w:hAnsi="Arial" w:cs="Arial"/>
          <w:sz w:val="24"/>
          <w:szCs w:val="24"/>
          <w:lang w:val="es-AR"/>
        </w:rPr>
        <w:t xml:space="preserve">¿Una salida al conflicto por la </w:t>
      </w:r>
      <w:r w:rsidR="000B5649">
        <w:rPr>
          <w:rFonts w:ascii="Arial" w:hAnsi="Arial" w:cs="Arial"/>
          <w:sz w:val="24"/>
          <w:szCs w:val="24"/>
          <w:lang w:val="es-AR"/>
        </w:rPr>
        <w:t>Última</w:t>
      </w:r>
      <w:r>
        <w:rPr>
          <w:rFonts w:ascii="Arial" w:hAnsi="Arial" w:cs="Arial"/>
          <w:sz w:val="24"/>
          <w:szCs w:val="24"/>
          <w:lang w:val="es-AR"/>
        </w:rPr>
        <w:t xml:space="preserve"> palabra”, </w:t>
      </w:r>
      <w:proofErr w:type="spellStart"/>
      <w:r w:rsidR="00910107">
        <w:rPr>
          <w:rFonts w:ascii="Arial" w:hAnsi="Arial" w:cs="Arial"/>
          <w:sz w:val="24"/>
          <w:szCs w:val="24"/>
          <w:lang w:val="es-AR"/>
        </w:rPr>
        <w:t>Intersentia</w:t>
      </w:r>
      <w:proofErr w:type="spellEnd"/>
      <w:r>
        <w:rPr>
          <w:rFonts w:ascii="Arial" w:hAnsi="Arial" w:cs="Arial"/>
          <w:sz w:val="24"/>
          <w:szCs w:val="24"/>
          <w:lang w:val="es-AR"/>
        </w:rPr>
        <w:t xml:space="preserve"> pags.</w:t>
      </w:r>
      <w:proofErr w:type="gramEnd"/>
      <w:r>
        <w:rPr>
          <w:rFonts w:ascii="Arial" w:hAnsi="Arial" w:cs="Arial"/>
          <w:sz w:val="24"/>
          <w:szCs w:val="24"/>
          <w:lang w:val="es-AR"/>
        </w:rPr>
        <w:t>182 y 183</w:t>
      </w:r>
      <w:r w:rsidR="00ED2A00">
        <w:rPr>
          <w:rFonts w:ascii="Arial" w:hAnsi="Arial" w:cs="Arial"/>
          <w:sz w:val="24"/>
          <w:szCs w:val="24"/>
          <w:lang w:val="es-AR"/>
        </w:rPr>
        <w:t>)</w:t>
      </w:r>
      <w:r>
        <w:rPr>
          <w:rFonts w:ascii="Arial" w:hAnsi="Arial" w:cs="Arial"/>
          <w:sz w:val="24"/>
          <w:szCs w:val="24"/>
          <w:lang w:val="es-AR"/>
        </w:rPr>
        <w:t>.</w:t>
      </w:r>
    </w:p>
    <w:p w:rsidR="00C743DC" w:rsidRPr="00910107" w:rsidRDefault="00C743DC" w:rsidP="00910107">
      <w:pPr>
        <w:pStyle w:val="Prrafodelista"/>
        <w:spacing w:line="360" w:lineRule="auto"/>
        <w:ind w:left="0"/>
        <w:jc w:val="both"/>
        <w:rPr>
          <w:rFonts w:ascii="Arial" w:hAnsi="Arial" w:cs="Arial"/>
          <w:sz w:val="24"/>
          <w:szCs w:val="24"/>
          <w:lang w:val="es-AR"/>
        </w:rPr>
      </w:pPr>
      <w:r>
        <w:rPr>
          <w:rFonts w:ascii="Arial" w:hAnsi="Arial" w:cs="Arial"/>
          <w:sz w:val="24"/>
          <w:szCs w:val="24"/>
          <w:lang w:val="es-AR"/>
        </w:rPr>
        <w:t>8.</w:t>
      </w:r>
      <w:r w:rsidR="00910107">
        <w:rPr>
          <w:rFonts w:ascii="Arial" w:hAnsi="Arial" w:cs="Arial"/>
          <w:sz w:val="24"/>
          <w:szCs w:val="24"/>
          <w:lang w:val="es-AR"/>
        </w:rPr>
        <w:t>- (</w:t>
      </w:r>
      <w:proofErr w:type="spellStart"/>
      <w:r>
        <w:rPr>
          <w:rFonts w:ascii="Arial" w:hAnsi="Arial" w:cs="Arial"/>
          <w:sz w:val="24"/>
          <w:szCs w:val="24"/>
          <w:lang w:val="es-AR"/>
        </w:rPr>
        <w:t>Calogero</w:t>
      </w:r>
      <w:proofErr w:type="spellEnd"/>
      <w:r>
        <w:rPr>
          <w:rFonts w:ascii="Arial" w:hAnsi="Arial" w:cs="Arial"/>
          <w:sz w:val="24"/>
          <w:szCs w:val="24"/>
          <w:lang w:val="es-AR"/>
        </w:rPr>
        <w:t xml:space="preserve"> </w:t>
      </w:r>
      <w:proofErr w:type="spellStart"/>
      <w:r>
        <w:rPr>
          <w:rFonts w:ascii="Arial" w:hAnsi="Arial" w:cs="Arial"/>
          <w:sz w:val="24"/>
          <w:szCs w:val="24"/>
          <w:lang w:val="es-AR"/>
        </w:rPr>
        <w:t>Pizzolo</w:t>
      </w:r>
      <w:proofErr w:type="spellEnd"/>
      <w:r w:rsidR="00C82CEF">
        <w:rPr>
          <w:rFonts w:ascii="Arial" w:hAnsi="Arial" w:cs="Arial"/>
          <w:sz w:val="24"/>
          <w:szCs w:val="24"/>
          <w:lang w:val="es-AR"/>
        </w:rPr>
        <w:t xml:space="preserve">, </w:t>
      </w:r>
      <w:r>
        <w:rPr>
          <w:rFonts w:ascii="Arial" w:hAnsi="Arial" w:cs="Arial"/>
          <w:sz w:val="24"/>
          <w:szCs w:val="24"/>
          <w:lang w:val="es-AR"/>
        </w:rPr>
        <w:t>“</w:t>
      </w:r>
      <w:r w:rsidR="000B5649">
        <w:rPr>
          <w:rFonts w:ascii="Arial" w:hAnsi="Arial" w:cs="Arial"/>
          <w:sz w:val="24"/>
          <w:szCs w:val="24"/>
          <w:lang w:val="es-AR"/>
        </w:rPr>
        <w:t>D</w:t>
      </w:r>
      <w:r w:rsidR="000B5649" w:rsidRPr="003522C1">
        <w:rPr>
          <w:rFonts w:ascii="Arial" w:hAnsi="Arial" w:cs="Arial"/>
          <w:sz w:val="24"/>
          <w:szCs w:val="24"/>
          <w:lang w:val="es-AR"/>
        </w:rPr>
        <w:t>efin</w:t>
      </w:r>
      <w:r w:rsidR="000B5649">
        <w:rPr>
          <w:rFonts w:ascii="Arial" w:hAnsi="Arial" w:cs="Arial"/>
          <w:sz w:val="24"/>
          <w:szCs w:val="24"/>
          <w:lang w:val="es-AR"/>
        </w:rPr>
        <w:t>ición</w:t>
      </w:r>
      <w:r w:rsidR="00A73D26">
        <w:rPr>
          <w:rFonts w:ascii="Arial" w:hAnsi="Arial" w:cs="Arial"/>
          <w:sz w:val="24"/>
          <w:szCs w:val="24"/>
          <w:lang w:val="es-AR"/>
        </w:rPr>
        <w:t xml:space="preserve"> del </w:t>
      </w:r>
      <w:r w:rsidR="000B5649">
        <w:rPr>
          <w:rFonts w:ascii="Arial" w:hAnsi="Arial" w:cs="Arial"/>
          <w:sz w:val="24"/>
          <w:szCs w:val="24"/>
          <w:lang w:val="es-AR"/>
        </w:rPr>
        <w:t>Núcleo</w:t>
      </w:r>
      <w:r w:rsidR="00A73D26">
        <w:rPr>
          <w:rFonts w:ascii="Arial" w:hAnsi="Arial" w:cs="Arial"/>
          <w:sz w:val="24"/>
          <w:szCs w:val="24"/>
          <w:lang w:val="es-AR"/>
        </w:rPr>
        <w:t xml:space="preserve"> Problemático: La F</w:t>
      </w:r>
      <w:r w:rsidR="00A73D26" w:rsidRPr="003522C1">
        <w:rPr>
          <w:rFonts w:ascii="Arial" w:hAnsi="Arial" w:cs="Arial"/>
          <w:sz w:val="24"/>
          <w:szCs w:val="24"/>
          <w:lang w:val="es-AR"/>
        </w:rPr>
        <w:t xml:space="preserve">ormación de </w:t>
      </w:r>
      <w:r w:rsidR="00A73D26">
        <w:rPr>
          <w:rFonts w:ascii="Arial" w:hAnsi="Arial" w:cs="Arial"/>
          <w:sz w:val="24"/>
          <w:szCs w:val="24"/>
          <w:lang w:val="es-AR"/>
        </w:rPr>
        <w:t>Normas I</w:t>
      </w:r>
      <w:r w:rsidR="00A73D26" w:rsidRPr="003522C1">
        <w:rPr>
          <w:rFonts w:ascii="Arial" w:hAnsi="Arial" w:cs="Arial"/>
          <w:sz w:val="24"/>
          <w:szCs w:val="24"/>
          <w:lang w:val="es-AR"/>
        </w:rPr>
        <w:t xml:space="preserve">nterconectadas y la </w:t>
      </w:r>
      <w:r w:rsidR="00A73D26">
        <w:rPr>
          <w:rFonts w:ascii="Arial" w:hAnsi="Arial" w:cs="Arial"/>
          <w:sz w:val="24"/>
          <w:szCs w:val="24"/>
          <w:lang w:val="es-AR"/>
        </w:rPr>
        <w:t>S</w:t>
      </w:r>
      <w:r w:rsidR="00A73D26" w:rsidRPr="003522C1">
        <w:rPr>
          <w:rFonts w:ascii="Arial" w:hAnsi="Arial" w:cs="Arial"/>
          <w:sz w:val="24"/>
          <w:szCs w:val="24"/>
          <w:lang w:val="es-AR"/>
        </w:rPr>
        <w:t xml:space="preserve">uperación de la </w:t>
      </w:r>
      <w:r w:rsidR="00A73D26">
        <w:rPr>
          <w:rFonts w:ascii="Arial" w:hAnsi="Arial" w:cs="Arial"/>
          <w:sz w:val="24"/>
          <w:szCs w:val="24"/>
          <w:lang w:val="es-AR"/>
        </w:rPr>
        <w:t>O</w:t>
      </w:r>
      <w:r w:rsidR="00A73D26" w:rsidRPr="003522C1">
        <w:rPr>
          <w:rFonts w:ascii="Arial" w:hAnsi="Arial" w:cs="Arial"/>
          <w:sz w:val="24"/>
          <w:szCs w:val="24"/>
          <w:lang w:val="es-AR"/>
        </w:rPr>
        <w:t>rdenación</w:t>
      </w:r>
      <w:r w:rsidR="00A73D26">
        <w:rPr>
          <w:rFonts w:ascii="Arial" w:hAnsi="Arial" w:cs="Arial"/>
          <w:sz w:val="24"/>
          <w:szCs w:val="24"/>
          <w:lang w:val="es-AR"/>
        </w:rPr>
        <w:t xml:space="preserve"> </w:t>
      </w:r>
      <w:r w:rsidR="000B5649">
        <w:rPr>
          <w:rFonts w:ascii="Arial" w:hAnsi="Arial" w:cs="Arial"/>
          <w:sz w:val="24"/>
          <w:szCs w:val="24"/>
          <w:lang w:val="es-AR"/>
        </w:rPr>
        <w:t>J</w:t>
      </w:r>
      <w:r w:rsidR="000B5649" w:rsidRPr="003522C1">
        <w:rPr>
          <w:rFonts w:ascii="Arial" w:hAnsi="Arial" w:cs="Arial"/>
          <w:sz w:val="24"/>
          <w:szCs w:val="24"/>
          <w:lang w:val="es-AR"/>
        </w:rPr>
        <w:t>erárquica</w:t>
      </w:r>
      <w:r w:rsidR="00A73D26">
        <w:rPr>
          <w:rFonts w:ascii="Arial" w:hAnsi="Arial" w:cs="Arial"/>
          <w:sz w:val="24"/>
          <w:szCs w:val="24"/>
          <w:lang w:val="es-AR"/>
        </w:rPr>
        <w:t>”</w:t>
      </w:r>
      <w:r w:rsidR="00A73D26" w:rsidRPr="003522C1">
        <w:rPr>
          <w:rFonts w:ascii="Arial" w:hAnsi="Arial" w:cs="Arial"/>
          <w:sz w:val="24"/>
          <w:szCs w:val="24"/>
          <w:lang w:val="es-AR"/>
        </w:rPr>
        <w:t>.</w:t>
      </w:r>
      <w:r w:rsidRPr="003522C1">
        <w:rPr>
          <w:rFonts w:ascii="Arial" w:hAnsi="Arial" w:cs="Arial"/>
          <w:sz w:val="24"/>
          <w:szCs w:val="24"/>
          <w:lang w:val="es-AR"/>
        </w:rPr>
        <w:t xml:space="preserve"> </w:t>
      </w:r>
      <w:proofErr w:type="spellStart"/>
      <w:r w:rsidRPr="003522C1">
        <w:rPr>
          <w:rFonts w:ascii="Arial" w:hAnsi="Arial" w:cs="Arial"/>
          <w:sz w:val="24"/>
          <w:szCs w:val="24"/>
          <w:lang w:val="es-AR"/>
        </w:rPr>
        <w:t>Intersentia</w:t>
      </w:r>
      <w:proofErr w:type="spellEnd"/>
      <w:r w:rsidRPr="003522C1">
        <w:rPr>
          <w:rFonts w:ascii="Arial" w:hAnsi="Arial" w:cs="Arial"/>
          <w:sz w:val="24"/>
          <w:szCs w:val="24"/>
          <w:lang w:val="es-AR"/>
        </w:rPr>
        <w:t xml:space="preserve"> pags.182 y 183)</w:t>
      </w:r>
      <w:r w:rsidRPr="003522C1">
        <w:rPr>
          <w:rFonts w:ascii="Arial" w:hAnsi="Arial" w:cs="Arial"/>
          <w:b/>
          <w:sz w:val="24"/>
          <w:szCs w:val="24"/>
          <w:lang w:val="es-AR"/>
        </w:rPr>
        <w:t>.</w:t>
      </w:r>
    </w:p>
    <w:p w:rsidR="00A73D26" w:rsidRPr="00A73D26" w:rsidRDefault="00A73D26" w:rsidP="00910107">
      <w:pPr>
        <w:autoSpaceDE w:val="0"/>
        <w:autoSpaceDN w:val="0"/>
        <w:adjustRightInd w:val="0"/>
        <w:spacing w:after="0" w:line="360" w:lineRule="auto"/>
        <w:jc w:val="both"/>
        <w:rPr>
          <w:rFonts w:ascii="Arial" w:hAnsi="Arial" w:cs="Arial"/>
          <w:sz w:val="24"/>
          <w:szCs w:val="24"/>
          <w:lang w:val="es-AR"/>
        </w:rPr>
      </w:pPr>
      <w:r w:rsidRPr="000B5649">
        <w:rPr>
          <w:rFonts w:ascii="Arial" w:hAnsi="Arial" w:cs="Arial"/>
          <w:sz w:val="24"/>
          <w:szCs w:val="24"/>
          <w:lang w:val="es-AR"/>
        </w:rPr>
        <w:t>9.</w:t>
      </w:r>
      <w:r w:rsidR="00910107" w:rsidRPr="000B5649">
        <w:rPr>
          <w:rFonts w:ascii="Arial" w:hAnsi="Arial" w:cs="Arial"/>
          <w:sz w:val="24"/>
          <w:szCs w:val="24"/>
          <w:lang w:val="es-AR"/>
        </w:rPr>
        <w:t>-</w:t>
      </w:r>
      <w:r w:rsidR="00910107">
        <w:rPr>
          <w:rFonts w:ascii="Arial" w:hAnsi="Arial" w:cs="Arial"/>
          <w:sz w:val="24"/>
          <w:szCs w:val="24"/>
          <w:lang w:val="es-AR"/>
        </w:rPr>
        <w:t xml:space="preserve"> (</w:t>
      </w:r>
      <w:proofErr w:type="spellStart"/>
      <w:r>
        <w:rPr>
          <w:rFonts w:ascii="Arial" w:hAnsi="Arial" w:cs="Arial"/>
          <w:sz w:val="24"/>
          <w:szCs w:val="24"/>
          <w:lang w:val="es-AR"/>
        </w:rPr>
        <w:t>Calogero</w:t>
      </w:r>
      <w:proofErr w:type="spellEnd"/>
      <w:r>
        <w:rPr>
          <w:rFonts w:ascii="Arial" w:hAnsi="Arial" w:cs="Arial"/>
          <w:sz w:val="24"/>
          <w:szCs w:val="24"/>
          <w:lang w:val="es-AR"/>
        </w:rPr>
        <w:t xml:space="preserve"> </w:t>
      </w:r>
      <w:proofErr w:type="spellStart"/>
      <w:r>
        <w:rPr>
          <w:rFonts w:ascii="Arial" w:hAnsi="Arial" w:cs="Arial"/>
          <w:sz w:val="24"/>
          <w:szCs w:val="24"/>
          <w:lang w:val="es-AR"/>
        </w:rPr>
        <w:t>Pizzolo</w:t>
      </w:r>
      <w:proofErr w:type="spellEnd"/>
      <w:r>
        <w:rPr>
          <w:rFonts w:ascii="Arial" w:hAnsi="Arial" w:cs="Arial"/>
          <w:sz w:val="24"/>
          <w:szCs w:val="24"/>
          <w:lang w:val="es-AR"/>
        </w:rPr>
        <w:t xml:space="preserve">, </w:t>
      </w:r>
      <w:r w:rsidR="00910107">
        <w:rPr>
          <w:rFonts w:ascii="Arial" w:hAnsi="Arial" w:cs="Arial"/>
          <w:sz w:val="24"/>
          <w:szCs w:val="24"/>
          <w:lang w:val="es-AR"/>
        </w:rPr>
        <w:t>“El</w:t>
      </w:r>
      <w:r>
        <w:rPr>
          <w:rFonts w:ascii="Arial" w:hAnsi="Arial" w:cs="Arial"/>
          <w:sz w:val="24"/>
          <w:szCs w:val="24"/>
          <w:lang w:val="es-AR"/>
        </w:rPr>
        <w:t xml:space="preserve"> Dialogo Interjurisdiccional: ¿Una salida al conflicto por la Última Palabra? </w:t>
      </w:r>
      <w:proofErr w:type="spellStart"/>
      <w:r>
        <w:rPr>
          <w:rFonts w:ascii="Arial" w:hAnsi="Arial" w:cs="Arial"/>
          <w:sz w:val="24"/>
          <w:szCs w:val="24"/>
          <w:lang w:val="es-AR"/>
        </w:rPr>
        <w:t>Intersentia</w:t>
      </w:r>
      <w:proofErr w:type="spellEnd"/>
      <w:r>
        <w:rPr>
          <w:rFonts w:ascii="Arial" w:hAnsi="Arial" w:cs="Arial"/>
          <w:sz w:val="24"/>
          <w:szCs w:val="24"/>
          <w:lang w:val="es-AR"/>
        </w:rPr>
        <w:t xml:space="preserve"> pags.183 y 185</w:t>
      </w:r>
      <w:r w:rsidRPr="003522C1">
        <w:rPr>
          <w:rFonts w:ascii="Arial" w:hAnsi="Arial" w:cs="Arial"/>
          <w:sz w:val="24"/>
          <w:szCs w:val="24"/>
          <w:lang w:val="es-AR"/>
        </w:rPr>
        <w:t>)</w:t>
      </w:r>
      <w:r w:rsidRPr="003522C1">
        <w:rPr>
          <w:rFonts w:ascii="Arial" w:hAnsi="Arial" w:cs="Arial"/>
          <w:b/>
          <w:sz w:val="24"/>
          <w:szCs w:val="24"/>
          <w:lang w:val="es-AR"/>
        </w:rPr>
        <w:t>.</w:t>
      </w:r>
    </w:p>
    <w:p w:rsidR="00A73D26" w:rsidRDefault="00A73D26" w:rsidP="00910107">
      <w:pPr>
        <w:autoSpaceDE w:val="0"/>
        <w:autoSpaceDN w:val="0"/>
        <w:adjustRightInd w:val="0"/>
        <w:spacing w:after="0" w:line="360" w:lineRule="auto"/>
        <w:jc w:val="both"/>
        <w:rPr>
          <w:rFonts w:ascii="Arial" w:hAnsi="Arial" w:cs="Arial"/>
          <w:sz w:val="24"/>
          <w:szCs w:val="24"/>
          <w:lang w:val="es-AR"/>
        </w:rPr>
      </w:pPr>
      <w:r w:rsidRPr="00A73D26">
        <w:rPr>
          <w:rFonts w:ascii="Arial" w:hAnsi="Arial" w:cs="Arial"/>
          <w:sz w:val="24"/>
          <w:szCs w:val="24"/>
          <w:lang w:val="es-AR"/>
        </w:rPr>
        <w:t xml:space="preserve">10.-Revista Electrónica de la Cátedra Jean </w:t>
      </w:r>
      <w:proofErr w:type="spellStart"/>
      <w:r w:rsidRPr="00A73D26">
        <w:rPr>
          <w:rFonts w:ascii="Arial" w:hAnsi="Arial" w:cs="Arial"/>
          <w:sz w:val="24"/>
          <w:szCs w:val="24"/>
          <w:lang w:val="es-AR"/>
        </w:rPr>
        <w:t>Monnet</w:t>
      </w:r>
      <w:proofErr w:type="spellEnd"/>
      <w:r w:rsidRPr="00A73D26">
        <w:rPr>
          <w:rFonts w:ascii="Arial" w:hAnsi="Arial" w:cs="Arial"/>
          <w:sz w:val="24"/>
          <w:szCs w:val="24"/>
          <w:lang w:val="es-AR"/>
        </w:rPr>
        <w:t xml:space="preserve"> de la Facultad de Derecho de la Universidad de Buenos Aires, Año III N°1-2015,</w:t>
      </w:r>
      <w:r>
        <w:rPr>
          <w:rFonts w:ascii="Arial" w:hAnsi="Arial" w:cs="Arial"/>
          <w:sz w:val="24"/>
          <w:szCs w:val="24"/>
          <w:lang w:val="es-AR"/>
        </w:rPr>
        <w:t xml:space="preserve"> </w:t>
      </w:r>
      <w:r w:rsidRPr="00A73D26">
        <w:rPr>
          <w:rFonts w:ascii="Arial" w:hAnsi="Arial" w:cs="Arial"/>
          <w:sz w:val="24"/>
          <w:szCs w:val="24"/>
          <w:lang w:val="es-AR"/>
        </w:rPr>
        <w:t>p.20</w:t>
      </w:r>
      <w:r w:rsidR="00ED2A00">
        <w:rPr>
          <w:rFonts w:ascii="Arial" w:hAnsi="Arial" w:cs="Arial"/>
          <w:sz w:val="24"/>
          <w:szCs w:val="24"/>
          <w:lang w:val="es-AR"/>
        </w:rPr>
        <w:t xml:space="preserve"> y </w:t>
      </w:r>
      <w:proofErr w:type="gramStart"/>
      <w:r w:rsidR="00ED2A00">
        <w:rPr>
          <w:rFonts w:ascii="Arial" w:hAnsi="Arial" w:cs="Arial"/>
          <w:sz w:val="24"/>
          <w:szCs w:val="24"/>
          <w:lang w:val="es-AR"/>
        </w:rPr>
        <w:t>ss.</w:t>
      </w:r>
      <w:r w:rsidR="000314F5">
        <w:rPr>
          <w:rFonts w:ascii="Arial" w:hAnsi="Arial" w:cs="Arial"/>
          <w:sz w:val="24"/>
          <w:szCs w:val="24"/>
          <w:lang w:val="es-AR"/>
        </w:rPr>
        <w:t>.</w:t>
      </w:r>
      <w:proofErr w:type="gramEnd"/>
    </w:p>
    <w:p w:rsidR="000314F5" w:rsidRPr="00A73D26" w:rsidRDefault="00910107" w:rsidP="00910107">
      <w:pPr>
        <w:autoSpaceDE w:val="0"/>
        <w:autoSpaceDN w:val="0"/>
        <w:adjustRightInd w:val="0"/>
        <w:spacing w:after="0" w:line="360" w:lineRule="auto"/>
        <w:jc w:val="both"/>
        <w:rPr>
          <w:rFonts w:ascii="Arial" w:hAnsi="Arial" w:cs="Arial"/>
          <w:b/>
          <w:sz w:val="24"/>
          <w:szCs w:val="24"/>
          <w:lang w:val="es-AR"/>
        </w:rPr>
      </w:pPr>
      <w:r>
        <w:rPr>
          <w:rFonts w:ascii="Arial" w:hAnsi="Arial" w:cs="Arial"/>
          <w:sz w:val="24"/>
          <w:szCs w:val="24"/>
          <w:lang w:val="es-AR"/>
        </w:rPr>
        <w:t xml:space="preserve"> </w:t>
      </w:r>
      <w:r w:rsidR="000314F5">
        <w:rPr>
          <w:rFonts w:ascii="Arial" w:hAnsi="Arial" w:cs="Arial"/>
          <w:sz w:val="24"/>
          <w:szCs w:val="24"/>
          <w:lang w:val="es-AR"/>
        </w:rPr>
        <w:t>11.-Jurisprudencia citada.</w:t>
      </w:r>
    </w:p>
    <w:p w:rsidR="00EB3FD6" w:rsidRPr="00A73D26" w:rsidRDefault="00EB3FD6" w:rsidP="00910107">
      <w:pPr>
        <w:autoSpaceDE w:val="0"/>
        <w:autoSpaceDN w:val="0"/>
        <w:adjustRightInd w:val="0"/>
        <w:spacing w:after="0" w:line="360" w:lineRule="auto"/>
        <w:jc w:val="both"/>
        <w:rPr>
          <w:rFonts w:ascii="Arial" w:hAnsi="Arial" w:cs="Arial"/>
          <w:color w:val="000000"/>
          <w:sz w:val="24"/>
          <w:szCs w:val="24"/>
        </w:rPr>
      </w:pPr>
    </w:p>
    <w:sectPr w:rsidR="00EB3FD6" w:rsidRPr="00A73D26" w:rsidSect="008F42AE">
      <w:footerReference w:type="default" r:id="rId9"/>
      <w:endnotePr>
        <w:numFmt w:val="decimal"/>
      </w:endnotePr>
      <w:pgSz w:w="11906" w:h="16838"/>
      <w:pgMar w:top="2835" w:right="1134" w:bottom="2552" w:left="25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FD5" w:rsidRDefault="00A66FD5" w:rsidP="00C55172">
      <w:pPr>
        <w:spacing w:after="0" w:line="240" w:lineRule="auto"/>
      </w:pPr>
      <w:r>
        <w:separator/>
      </w:r>
    </w:p>
  </w:endnote>
  <w:endnote w:type="continuationSeparator" w:id="0">
    <w:p w:rsidR="00A66FD5" w:rsidRDefault="00A66FD5" w:rsidP="00C55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topia Std">
    <w:altName w:val="Utopia 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588" w:rsidRDefault="008C35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FD5" w:rsidRDefault="00A66FD5" w:rsidP="00C55172">
      <w:pPr>
        <w:spacing w:after="0" w:line="240" w:lineRule="auto"/>
      </w:pPr>
      <w:r>
        <w:separator/>
      </w:r>
    </w:p>
  </w:footnote>
  <w:footnote w:type="continuationSeparator" w:id="0">
    <w:p w:rsidR="00A66FD5" w:rsidRDefault="00A66FD5" w:rsidP="00C551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009CE"/>
    <w:multiLevelType w:val="hybridMultilevel"/>
    <w:tmpl w:val="45403AF4"/>
    <w:lvl w:ilvl="0" w:tplc="FD1CE04C">
      <w:start w:val="1"/>
      <w:numFmt w:val="decimal"/>
      <w:lvlText w:val="%1)"/>
      <w:lvlJc w:val="left"/>
      <w:pPr>
        <w:ind w:left="1778" w:hanging="360"/>
      </w:pPr>
      <w:rPr>
        <w:rFonts w:hint="default"/>
      </w:rPr>
    </w:lvl>
    <w:lvl w:ilvl="1" w:tplc="2C0A0019" w:tentative="1">
      <w:start w:val="1"/>
      <w:numFmt w:val="lowerLetter"/>
      <w:lvlText w:val="%2."/>
      <w:lvlJc w:val="left"/>
      <w:pPr>
        <w:ind w:left="2498" w:hanging="360"/>
      </w:pPr>
    </w:lvl>
    <w:lvl w:ilvl="2" w:tplc="2C0A001B" w:tentative="1">
      <w:start w:val="1"/>
      <w:numFmt w:val="lowerRoman"/>
      <w:lvlText w:val="%3."/>
      <w:lvlJc w:val="right"/>
      <w:pPr>
        <w:ind w:left="3218" w:hanging="180"/>
      </w:pPr>
    </w:lvl>
    <w:lvl w:ilvl="3" w:tplc="2C0A000F" w:tentative="1">
      <w:start w:val="1"/>
      <w:numFmt w:val="decimal"/>
      <w:lvlText w:val="%4."/>
      <w:lvlJc w:val="left"/>
      <w:pPr>
        <w:ind w:left="3938" w:hanging="360"/>
      </w:pPr>
    </w:lvl>
    <w:lvl w:ilvl="4" w:tplc="2C0A0019" w:tentative="1">
      <w:start w:val="1"/>
      <w:numFmt w:val="lowerLetter"/>
      <w:lvlText w:val="%5."/>
      <w:lvlJc w:val="left"/>
      <w:pPr>
        <w:ind w:left="4658" w:hanging="360"/>
      </w:pPr>
    </w:lvl>
    <w:lvl w:ilvl="5" w:tplc="2C0A001B" w:tentative="1">
      <w:start w:val="1"/>
      <w:numFmt w:val="lowerRoman"/>
      <w:lvlText w:val="%6."/>
      <w:lvlJc w:val="right"/>
      <w:pPr>
        <w:ind w:left="5378" w:hanging="180"/>
      </w:pPr>
    </w:lvl>
    <w:lvl w:ilvl="6" w:tplc="2C0A000F" w:tentative="1">
      <w:start w:val="1"/>
      <w:numFmt w:val="decimal"/>
      <w:lvlText w:val="%7."/>
      <w:lvlJc w:val="left"/>
      <w:pPr>
        <w:ind w:left="6098" w:hanging="360"/>
      </w:pPr>
    </w:lvl>
    <w:lvl w:ilvl="7" w:tplc="2C0A0019" w:tentative="1">
      <w:start w:val="1"/>
      <w:numFmt w:val="lowerLetter"/>
      <w:lvlText w:val="%8."/>
      <w:lvlJc w:val="left"/>
      <w:pPr>
        <w:ind w:left="6818" w:hanging="360"/>
      </w:pPr>
    </w:lvl>
    <w:lvl w:ilvl="8" w:tplc="2C0A001B" w:tentative="1">
      <w:start w:val="1"/>
      <w:numFmt w:val="lowerRoman"/>
      <w:lvlText w:val="%9."/>
      <w:lvlJc w:val="right"/>
      <w:pPr>
        <w:ind w:left="7538" w:hanging="180"/>
      </w:pPr>
    </w:lvl>
  </w:abstractNum>
  <w:abstractNum w:abstractNumId="1" w15:restartNumberingAfterBreak="0">
    <w:nsid w:val="35E8459F"/>
    <w:multiLevelType w:val="hybridMultilevel"/>
    <w:tmpl w:val="B1F82EB0"/>
    <w:lvl w:ilvl="0" w:tplc="81921DC6">
      <w:start w:val="1"/>
      <w:numFmt w:val="decimal"/>
      <w:lvlText w:val="%1)"/>
      <w:lvlJc w:val="left"/>
      <w:pPr>
        <w:ind w:left="405" w:hanging="360"/>
      </w:pPr>
      <w:rPr>
        <w:rFonts w:hint="default"/>
      </w:rPr>
    </w:lvl>
    <w:lvl w:ilvl="1" w:tplc="2C0A0019" w:tentative="1">
      <w:start w:val="1"/>
      <w:numFmt w:val="lowerLetter"/>
      <w:lvlText w:val="%2."/>
      <w:lvlJc w:val="left"/>
      <w:pPr>
        <w:ind w:left="1125" w:hanging="360"/>
      </w:pPr>
    </w:lvl>
    <w:lvl w:ilvl="2" w:tplc="2C0A001B" w:tentative="1">
      <w:start w:val="1"/>
      <w:numFmt w:val="lowerRoman"/>
      <w:lvlText w:val="%3."/>
      <w:lvlJc w:val="right"/>
      <w:pPr>
        <w:ind w:left="1845" w:hanging="180"/>
      </w:pPr>
    </w:lvl>
    <w:lvl w:ilvl="3" w:tplc="2C0A000F" w:tentative="1">
      <w:start w:val="1"/>
      <w:numFmt w:val="decimal"/>
      <w:lvlText w:val="%4."/>
      <w:lvlJc w:val="left"/>
      <w:pPr>
        <w:ind w:left="2565" w:hanging="360"/>
      </w:pPr>
    </w:lvl>
    <w:lvl w:ilvl="4" w:tplc="2C0A0019" w:tentative="1">
      <w:start w:val="1"/>
      <w:numFmt w:val="lowerLetter"/>
      <w:lvlText w:val="%5."/>
      <w:lvlJc w:val="left"/>
      <w:pPr>
        <w:ind w:left="3285" w:hanging="360"/>
      </w:pPr>
    </w:lvl>
    <w:lvl w:ilvl="5" w:tplc="2C0A001B" w:tentative="1">
      <w:start w:val="1"/>
      <w:numFmt w:val="lowerRoman"/>
      <w:lvlText w:val="%6."/>
      <w:lvlJc w:val="right"/>
      <w:pPr>
        <w:ind w:left="4005" w:hanging="180"/>
      </w:pPr>
    </w:lvl>
    <w:lvl w:ilvl="6" w:tplc="2C0A000F" w:tentative="1">
      <w:start w:val="1"/>
      <w:numFmt w:val="decimal"/>
      <w:lvlText w:val="%7."/>
      <w:lvlJc w:val="left"/>
      <w:pPr>
        <w:ind w:left="4725" w:hanging="360"/>
      </w:pPr>
    </w:lvl>
    <w:lvl w:ilvl="7" w:tplc="2C0A0019" w:tentative="1">
      <w:start w:val="1"/>
      <w:numFmt w:val="lowerLetter"/>
      <w:lvlText w:val="%8."/>
      <w:lvlJc w:val="left"/>
      <w:pPr>
        <w:ind w:left="5445" w:hanging="360"/>
      </w:pPr>
    </w:lvl>
    <w:lvl w:ilvl="8" w:tplc="2C0A001B" w:tentative="1">
      <w:start w:val="1"/>
      <w:numFmt w:val="lowerRoman"/>
      <w:lvlText w:val="%9."/>
      <w:lvlJc w:val="right"/>
      <w:pPr>
        <w:ind w:left="6165" w:hanging="180"/>
      </w:pPr>
    </w:lvl>
  </w:abstractNum>
  <w:abstractNum w:abstractNumId="2" w15:restartNumberingAfterBreak="0">
    <w:nsid w:val="42921CA8"/>
    <w:multiLevelType w:val="hybridMultilevel"/>
    <w:tmpl w:val="30AE047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2"/>
    <w:compatSetting w:name="useWord2013TrackBottomHyphenation" w:uri="http://schemas.microsoft.com/office/word" w:val="1"/>
  </w:compat>
  <w:rsids>
    <w:rsidRoot w:val="008F42AE"/>
    <w:rsid w:val="000173DC"/>
    <w:rsid w:val="00017DA9"/>
    <w:rsid w:val="00027E94"/>
    <w:rsid w:val="000314F5"/>
    <w:rsid w:val="0004049F"/>
    <w:rsid w:val="00041157"/>
    <w:rsid w:val="0005307B"/>
    <w:rsid w:val="00064105"/>
    <w:rsid w:val="00070960"/>
    <w:rsid w:val="000931E2"/>
    <w:rsid w:val="00096441"/>
    <w:rsid w:val="000A1EC1"/>
    <w:rsid w:val="000B1701"/>
    <w:rsid w:val="000B4553"/>
    <w:rsid w:val="000B5649"/>
    <w:rsid w:val="000E03F5"/>
    <w:rsid w:val="000E4B4B"/>
    <w:rsid w:val="000E7807"/>
    <w:rsid w:val="00101D9B"/>
    <w:rsid w:val="0010495E"/>
    <w:rsid w:val="0011065B"/>
    <w:rsid w:val="001134BF"/>
    <w:rsid w:val="001219F7"/>
    <w:rsid w:val="001227F1"/>
    <w:rsid w:val="001360F5"/>
    <w:rsid w:val="0013622F"/>
    <w:rsid w:val="001472E7"/>
    <w:rsid w:val="00170095"/>
    <w:rsid w:val="0017618B"/>
    <w:rsid w:val="001845C8"/>
    <w:rsid w:val="00187722"/>
    <w:rsid w:val="001A73C7"/>
    <w:rsid w:val="001B1821"/>
    <w:rsid w:val="001B31DC"/>
    <w:rsid w:val="001B4F01"/>
    <w:rsid w:val="001C0EF3"/>
    <w:rsid w:val="001E045F"/>
    <w:rsid w:val="001E347A"/>
    <w:rsid w:val="001F7FE2"/>
    <w:rsid w:val="0020133F"/>
    <w:rsid w:val="002100EB"/>
    <w:rsid w:val="00210B4E"/>
    <w:rsid w:val="002131BA"/>
    <w:rsid w:val="00223009"/>
    <w:rsid w:val="00225C2B"/>
    <w:rsid w:val="00230729"/>
    <w:rsid w:val="0023152D"/>
    <w:rsid w:val="00236C4F"/>
    <w:rsid w:val="0024405B"/>
    <w:rsid w:val="0025082B"/>
    <w:rsid w:val="002509CB"/>
    <w:rsid w:val="00254822"/>
    <w:rsid w:val="002628E2"/>
    <w:rsid w:val="0026306F"/>
    <w:rsid w:val="00263C56"/>
    <w:rsid w:val="00266C67"/>
    <w:rsid w:val="002677F8"/>
    <w:rsid w:val="00275623"/>
    <w:rsid w:val="002825E2"/>
    <w:rsid w:val="00284568"/>
    <w:rsid w:val="0029026A"/>
    <w:rsid w:val="002A3E14"/>
    <w:rsid w:val="002B76F4"/>
    <w:rsid w:val="002C128B"/>
    <w:rsid w:val="002D263F"/>
    <w:rsid w:val="002D5625"/>
    <w:rsid w:val="002D6D3B"/>
    <w:rsid w:val="002D7F7E"/>
    <w:rsid w:val="002F3781"/>
    <w:rsid w:val="00307EF2"/>
    <w:rsid w:val="00344E63"/>
    <w:rsid w:val="00351152"/>
    <w:rsid w:val="003522C1"/>
    <w:rsid w:val="0035339A"/>
    <w:rsid w:val="00356357"/>
    <w:rsid w:val="00383C73"/>
    <w:rsid w:val="0039112A"/>
    <w:rsid w:val="003B68FA"/>
    <w:rsid w:val="003B73B0"/>
    <w:rsid w:val="003C674A"/>
    <w:rsid w:val="003D7189"/>
    <w:rsid w:val="003E3F2D"/>
    <w:rsid w:val="003F6C6A"/>
    <w:rsid w:val="00407787"/>
    <w:rsid w:val="0042737F"/>
    <w:rsid w:val="00440A25"/>
    <w:rsid w:val="004421CF"/>
    <w:rsid w:val="00457265"/>
    <w:rsid w:val="00465F61"/>
    <w:rsid w:val="00485939"/>
    <w:rsid w:val="004929C7"/>
    <w:rsid w:val="004A00A7"/>
    <w:rsid w:val="004C1459"/>
    <w:rsid w:val="004D0ABC"/>
    <w:rsid w:val="004E06C3"/>
    <w:rsid w:val="004E1AC4"/>
    <w:rsid w:val="004F3A74"/>
    <w:rsid w:val="00502756"/>
    <w:rsid w:val="00520C53"/>
    <w:rsid w:val="00523BD7"/>
    <w:rsid w:val="005242E6"/>
    <w:rsid w:val="00531DCB"/>
    <w:rsid w:val="005421C2"/>
    <w:rsid w:val="00545ECC"/>
    <w:rsid w:val="005505F0"/>
    <w:rsid w:val="00552E15"/>
    <w:rsid w:val="00556392"/>
    <w:rsid w:val="005620C1"/>
    <w:rsid w:val="00562454"/>
    <w:rsid w:val="00571C51"/>
    <w:rsid w:val="005976FA"/>
    <w:rsid w:val="005A6370"/>
    <w:rsid w:val="005C5FFD"/>
    <w:rsid w:val="005C70D3"/>
    <w:rsid w:val="005D2A5E"/>
    <w:rsid w:val="005E47BC"/>
    <w:rsid w:val="005F4C49"/>
    <w:rsid w:val="00622DBC"/>
    <w:rsid w:val="006262CA"/>
    <w:rsid w:val="006301E2"/>
    <w:rsid w:val="006425BC"/>
    <w:rsid w:val="006434C5"/>
    <w:rsid w:val="0064781B"/>
    <w:rsid w:val="006529A6"/>
    <w:rsid w:val="0065330E"/>
    <w:rsid w:val="0065337F"/>
    <w:rsid w:val="006556B5"/>
    <w:rsid w:val="006663BF"/>
    <w:rsid w:val="006665D6"/>
    <w:rsid w:val="0066672B"/>
    <w:rsid w:val="0066729D"/>
    <w:rsid w:val="00682349"/>
    <w:rsid w:val="0069337E"/>
    <w:rsid w:val="006A60C6"/>
    <w:rsid w:val="006B4556"/>
    <w:rsid w:val="006C0CE7"/>
    <w:rsid w:val="006C1696"/>
    <w:rsid w:val="006C70E3"/>
    <w:rsid w:val="006D60F5"/>
    <w:rsid w:val="006E4A01"/>
    <w:rsid w:val="006E5FB6"/>
    <w:rsid w:val="006E7AE4"/>
    <w:rsid w:val="006F435E"/>
    <w:rsid w:val="006F4561"/>
    <w:rsid w:val="006F51DB"/>
    <w:rsid w:val="006F54F8"/>
    <w:rsid w:val="007018C0"/>
    <w:rsid w:val="00705E0B"/>
    <w:rsid w:val="00716431"/>
    <w:rsid w:val="00722C7A"/>
    <w:rsid w:val="007249F4"/>
    <w:rsid w:val="007270F5"/>
    <w:rsid w:val="00730966"/>
    <w:rsid w:val="007351E2"/>
    <w:rsid w:val="00737175"/>
    <w:rsid w:val="0074314C"/>
    <w:rsid w:val="007623D4"/>
    <w:rsid w:val="00763DF8"/>
    <w:rsid w:val="00771AD4"/>
    <w:rsid w:val="00780EEC"/>
    <w:rsid w:val="00786A45"/>
    <w:rsid w:val="00792448"/>
    <w:rsid w:val="0079370C"/>
    <w:rsid w:val="00794D44"/>
    <w:rsid w:val="007A3620"/>
    <w:rsid w:val="007B00A4"/>
    <w:rsid w:val="007B5AFC"/>
    <w:rsid w:val="007E17CC"/>
    <w:rsid w:val="007E75F6"/>
    <w:rsid w:val="00806FB2"/>
    <w:rsid w:val="00807CCB"/>
    <w:rsid w:val="00812292"/>
    <w:rsid w:val="00814F65"/>
    <w:rsid w:val="00816603"/>
    <w:rsid w:val="00822100"/>
    <w:rsid w:val="00834FD6"/>
    <w:rsid w:val="00845667"/>
    <w:rsid w:val="00853C0C"/>
    <w:rsid w:val="0085488C"/>
    <w:rsid w:val="00861108"/>
    <w:rsid w:val="008718A5"/>
    <w:rsid w:val="008735A6"/>
    <w:rsid w:val="0087589A"/>
    <w:rsid w:val="008777D6"/>
    <w:rsid w:val="008868D9"/>
    <w:rsid w:val="00890BCB"/>
    <w:rsid w:val="008A12C2"/>
    <w:rsid w:val="008A231F"/>
    <w:rsid w:val="008B4EF3"/>
    <w:rsid w:val="008B4FA8"/>
    <w:rsid w:val="008C3588"/>
    <w:rsid w:val="008D04BE"/>
    <w:rsid w:val="008D55F7"/>
    <w:rsid w:val="008E06D3"/>
    <w:rsid w:val="008E69AC"/>
    <w:rsid w:val="008E78BE"/>
    <w:rsid w:val="008F42AE"/>
    <w:rsid w:val="0090037A"/>
    <w:rsid w:val="009014DF"/>
    <w:rsid w:val="00910107"/>
    <w:rsid w:val="0091454D"/>
    <w:rsid w:val="00926501"/>
    <w:rsid w:val="00933094"/>
    <w:rsid w:val="00957C8C"/>
    <w:rsid w:val="009637EB"/>
    <w:rsid w:val="009655C1"/>
    <w:rsid w:val="00973788"/>
    <w:rsid w:val="009842B1"/>
    <w:rsid w:val="00985224"/>
    <w:rsid w:val="009A1105"/>
    <w:rsid w:val="009A2EA4"/>
    <w:rsid w:val="009B782C"/>
    <w:rsid w:val="009C3767"/>
    <w:rsid w:val="009D02AE"/>
    <w:rsid w:val="009D08B2"/>
    <w:rsid w:val="009D4FB0"/>
    <w:rsid w:val="009E0550"/>
    <w:rsid w:val="009E675C"/>
    <w:rsid w:val="009F0F36"/>
    <w:rsid w:val="00A01C2D"/>
    <w:rsid w:val="00A02479"/>
    <w:rsid w:val="00A151A3"/>
    <w:rsid w:val="00A20D72"/>
    <w:rsid w:val="00A32B0A"/>
    <w:rsid w:val="00A433C1"/>
    <w:rsid w:val="00A51380"/>
    <w:rsid w:val="00A63630"/>
    <w:rsid w:val="00A66158"/>
    <w:rsid w:val="00A661CB"/>
    <w:rsid w:val="00A66FD5"/>
    <w:rsid w:val="00A73D26"/>
    <w:rsid w:val="00A90937"/>
    <w:rsid w:val="00AA1371"/>
    <w:rsid w:val="00AB1472"/>
    <w:rsid w:val="00AB5DCD"/>
    <w:rsid w:val="00AC0DEF"/>
    <w:rsid w:val="00AC2102"/>
    <w:rsid w:val="00AC4187"/>
    <w:rsid w:val="00AC6167"/>
    <w:rsid w:val="00AC72EE"/>
    <w:rsid w:val="00AD3D90"/>
    <w:rsid w:val="00AE2773"/>
    <w:rsid w:val="00AF79A2"/>
    <w:rsid w:val="00B33CA0"/>
    <w:rsid w:val="00B33DF4"/>
    <w:rsid w:val="00B40708"/>
    <w:rsid w:val="00B74CCF"/>
    <w:rsid w:val="00B806AE"/>
    <w:rsid w:val="00B81858"/>
    <w:rsid w:val="00B93CF4"/>
    <w:rsid w:val="00B948C0"/>
    <w:rsid w:val="00BA0EF9"/>
    <w:rsid w:val="00BE25A0"/>
    <w:rsid w:val="00BE2A02"/>
    <w:rsid w:val="00BE2B3F"/>
    <w:rsid w:val="00BE5AB3"/>
    <w:rsid w:val="00C011E3"/>
    <w:rsid w:val="00C135D4"/>
    <w:rsid w:val="00C23129"/>
    <w:rsid w:val="00C243F7"/>
    <w:rsid w:val="00C357DC"/>
    <w:rsid w:val="00C41882"/>
    <w:rsid w:val="00C5197F"/>
    <w:rsid w:val="00C52C1B"/>
    <w:rsid w:val="00C55172"/>
    <w:rsid w:val="00C56029"/>
    <w:rsid w:val="00C5703E"/>
    <w:rsid w:val="00C66EFE"/>
    <w:rsid w:val="00C743DC"/>
    <w:rsid w:val="00C82763"/>
    <w:rsid w:val="00C82CEF"/>
    <w:rsid w:val="00C9386B"/>
    <w:rsid w:val="00CA4382"/>
    <w:rsid w:val="00CA4E6D"/>
    <w:rsid w:val="00CB078D"/>
    <w:rsid w:val="00CB1E2A"/>
    <w:rsid w:val="00CB66B6"/>
    <w:rsid w:val="00CD12BB"/>
    <w:rsid w:val="00CD5ECF"/>
    <w:rsid w:val="00CE2DF3"/>
    <w:rsid w:val="00CE7283"/>
    <w:rsid w:val="00CF14ED"/>
    <w:rsid w:val="00D02FCF"/>
    <w:rsid w:val="00D07647"/>
    <w:rsid w:val="00D11C3F"/>
    <w:rsid w:val="00D25487"/>
    <w:rsid w:val="00D3427E"/>
    <w:rsid w:val="00D36E43"/>
    <w:rsid w:val="00D45D91"/>
    <w:rsid w:val="00D523B2"/>
    <w:rsid w:val="00D619D1"/>
    <w:rsid w:val="00D65EA1"/>
    <w:rsid w:val="00D75DAD"/>
    <w:rsid w:val="00D859EB"/>
    <w:rsid w:val="00D86AB4"/>
    <w:rsid w:val="00D871F1"/>
    <w:rsid w:val="00D92796"/>
    <w:rsid w:val="00D9528E"/>
    <w:rsid w:val="00DB369D"/>
    <w:rsid w:val="00DB5312"/>
    <w:rsid w:val="00DB76AC"/>
    <w:rsid w:val="00DB7944"/>
    <w:rsid w:val="00DC36A4"/>
    <w:rsid w:val="00DC7F6A"/>
    <w:rsid w:val="00DD30BD"/>
    <w:rsid w:val="00DD74AC"/>
    <w:rsid w:val="00DE5558"/>
    <w:rsid w:val="00DF0B31"/>
    <w:rsid w:val="00DF3B68"/>
    <w:rsid w:val="00E017B8"/>
    <w:rsid w:val="00E04C70"/>
    <w:rsid w:val="00E1029C"/>
    <w:rsid w:val="00E17BF5"/>
    <w:rsid w:val="00E250AE"/>
    <w:rsid w:val="00E255B7"/>
    <w:rsid w:val="00E26435"/>
    <w:rsid w:val="00E377EF"/>
    <w:rsid w:val="00E3786D"/>
    <w:rsid w:val="00E401C6"/>
    <w:rsid w:val="00E406A5"/>
    <w:rsid w:val="00E43897"/>
    <w:rsid w:val="00E46265"/>
    <w:rsid w:val="00E50DA4"/>
    <w:rsid w:val="00E7061C"/>
    <w:rsid w:val="00E82134"/>
    <w:rsid w:val="00E85226"/>
    <w:rsid w:val="00EA2CFF"/>
    <w:rsid w:val="00EB2D00"/>
    <w:rsid w:val="00EB3FD6"/>
    <w:rsid w:val="00EB3FED"/>
    <w:rsid w:val="00EB4EC9"/>
    <w:rsid w:val="00EC7BEF"/>
    <w:rsid w:val="00ED2A00"/>
    <w:rsid w:val="00ED5BBB"/>
    <w:rsid w:val="00ED7983"/>
    <w:rsid w:val="00EE2982"/>
    <w:rsid w:val="00F03C00"/>
    <w:rsid w:val="00F052EA"/>
    <w:rsid w:val="00F05C41"/>
    <w:rsid w:val="00F1328A"/>
    <w:rsid w:val="00F14573"/>
    <w:rsid w:val="00F15A8A"/>
    <w:rsid w:val="00F2273E"/>
    <w:rsid w:val="00F23D07"/>
    <w:rsid w:val="00F30E47"/>
    <w:rsid w:val="00F44796"/>
    <w:rsid w:val="00F831DB"/>
    <w:rsid w:val="00F8730D"/>
    <w:rsid w:val="00F95059"/>
    <w:rsid w:val="00FA661D"/>
    <w:rsid w:val="00FB30F9"/>
    <w:rsid w:val="00FC7867"/>
    <w:rsid w:val="00FE15B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D273A"/>
  <w15:docId w15:val="{BF7FE3AE-61F4-49E1-8EF7-694F4BE5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1DC"/>
  </w:style>
  <w:style w:type="paragraph" w:styleId="Ttulo2">
    <w:name w:val="heading 2"/>
    <w:basedOn w:val="Normal"/>
    <w:link w:val="Ttulo2Car"/>
    <w:uiPriority w:val="9"/>
    <w:qFormat/>
    <w:rsid w:val="0085488C"/>
    <w:pPr>
      <w:spacing w:before="100" w:beforeAutospacing="1" w:after="100" w:afterAutospacing="1" w:line="240" w:lineRule="auto"/>
      <w:outlineLvl w:val="1"/>
    </w:pPr>
    <w:rPr>
      <w:rFonts w:ascii="Times New Roman" w:eastAsia="Times New Roman" w:hAnsi="Times New Roman" w:cs="Times New Roman"/>
      <w:b/>
      <w:bCs/>
      <w:sz w:val="36"/>
      <w:szCs w:val="36"/>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57DC"/>
    <w:pPr>
      <w:ind w:left="720"/>
      <w:contextualSpacing/>
    </w:pPr>
  </w:style>
  <w:style w:type="paragraph" w:customStyle="1" w:styleId="Default">
    <w:name w:val="Default"/>
    <w:rsid w:val="00B93CF4"/>
    <w:pPr>
      <w:autoSpaceDE w:val="0"/>
      <w:autoSpaceDN w:val="0"/>
      <w:adjustRightInd w:val="0"/>
      <w:spacing w:after="0" w:line="240" w:lineRule="auto"/>
    </w:pPr>
    <w:rPr>
      <w:rFonts w:ascii="Times New Roman" w:hAnsi="Times New Roman" w:cs="Times New Roman"/>
      <w:color w:val="000000"/>
      <w:sz w:val="24"/>
      <w:szCs w:val="24"/>
      <w:lang w:val="es-AR"/>
    </w:rPr>
  </w:style>
  <w:style w:type="character" w:customStyle="1" w:styleId="Ttulo2Car">
    <w:name w:val="Título 2 Car"/>
    <w:basedOn w:val="Fuentedeprrafopredeter"/>
    <w:link w:val="Ttulo2"/>
    <w:uiPriority w:val="9"/>
    <w:rsid w:val="0085488C"/>
    <w:rPr>
      <w:rFonts w:ascii="Times New Roman" w:eastAsia="Times New Roman" w:hAnsi="Times New Roman" w:cs="Times New Roman"/>
      <w:b/>
      <w:bCs/>
      <w:sz w:val="36"/>
      <w:szCs w:val="36"/>
      <w:lang w:val="es-AR" w:eastAsia="es-AR"/>
    </w:rPr>
  </w:style>
  <w:style w:type="paragraph" w:styleId="z-Principiodelformulario">
    <w:name w:val="HTML Top of Form"/>
    <w:basedOn w:val="Normal"/>
    <w:next w:val="Normal"/>
    <w:link w:val="z-PrincipiodelformularioCar"/>
    <w:hidden/>
    <w:uiPriority w:val="99"/>
    <w:semiHidden/>
    <w:unhideWhenUsed/>
    <w:rsid w:val="0085488C"/>
    <w:pPr>
      <w:pBdr>
        <w:bottom w:val="single" w:sz="6" w:space="1" w:color="auto"/>
      </w:pBdr>
      <w:spacing w:after="0" w:line="240" w:lineRule="auto"/>
      <w:jc w:val="center"/>
    </w:pPr>
    <w:rPr>
      <w:rFonts w:ascii="Arial" w:eastAsia="Times New Roman" w:hAnsi="Arial" w:cs="Arial"/>
      <w:vanish/>
      <w:sz w:val="16"/>
      <w:szCs w:val="16"/>
      <w:lang w:val="es-AR" w:eastAsia="es-AR"/>
    </w:rPr>
  </w:style>
  <w:style w:type="character" w:customStyle="1" w:styleId="z-PrincipiodelformularioCar">
    <w:name w:val="z-Principio del formulario Car"/>
    <w:basedOn w:val="Fuentedeprrafopredeter"/>
    <w:link w:val="z-Principiodelformulario"/>
    <w:uiPriority w:val="99"/>
    <w:semiHidden/>
    <w:rsid w:val="0085488C"/>
    <w:rPr>
      <w:rFonts w:ascii="Arial" w:eastAsia="Times New Roman" w:hAnsi="Arial" w:cs="Arial"/>
      <w:vanish/>
      <w:sz w:val="16"/>
      <w:szCs w:val="16"/>
      <w:lang w:val="es-AR" w:eastAsia="es-AR"/>
    </w:rPr>
  </w:style>
  <w:style w:type="paragraph" w:styleId="z-Finaldelformulario">
    <w:name w:val="HTML Bottom of Form"/>
    <w:basedOn w:val="Normal"/>
    <w:next w:val="Normal"/>
    <w:link w:val="z-FinaldelformularioCar"/>
    <w:hidden/>
    <w:uiPriority w:val="99"/>
    <w:unhideWhenUsed/>
    <w:rsid w:val="0085488C"/>
    <w:pPr>
      <w:pBdr>
        <w:top w:val="single" w:sz="6" w:space="1" w:color="auto"/>
      </w:pBdr>
      <w:spacing w:after="0" w:line="240" w:lineRule="auto"/>
      <w:jc w:val="center"/>
    </w:pPr>
    <w:rPr>
      <w:rFonts w:ascii="Arial" w:eastAsia="Times New Roman" w:hAnsi="Arial" w:cs="Arial"/>
      <w:vanish/>
      <w:sz w:val="16"/>
      <w:szCs w:val="16"/>
      <w:lang w:val="es-AR" w:eastAsia="es-AR"/>
    </w:rPr>
  </w:style>
  <w:style w:type="character" w:customStyle="1" w:styleId="z-FinaldelformularioCar">
    <w:name w:val="z-Final del formulario Car"/>
    <w:basedOn w:val="Fuentedeprrafopredeter"/>
    <w:link w:val="z-Finaldelformulario"/>
    <w:uiPriority w:val="99"/>
    <w:rsid w:val="0085488C"/>
    <w:rPr>
      <w:rFonts w:ascii="Arial" w:eastAsia="Times New Roman" w:hAnsi="Arial" w:cs="Arial"/>
      <w:vanish/>
      <w:sz w:val="16"/>
      <w:szCs w:val="16"/>
      <w:lang w:val="es-AR" w:eastAsia="es-AR"/>
    </w:rPr>
  </w:style>
  <w:style w:type="character" w:customStyle="1" w:styleId="apple-converted-space">
    <w:name w:val="apple-converted-space"/>
    <w:basedOn w:val="Fuentedeprrafopredeter"/>
    <w:rsid w:val="00407787"/>
  </w:style>
  <w:style w:type="paragraph" w:styleId="NormalWeb">
    <w:name w:val="Normal (Web)"/>
    <w:basedOn w:val="Normal"/>
    <w:uiPriority w:val="99"/>
    <w:unhideWhenUsed/>
    <w:rsid w:val="007018C0"/>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Hipervnculo">
    <w:name w:val="Hyperlink"/>
    <w:basedOn w:val="Fuentedeprrafopredeter"/>
    <w:uiPriority w:val="99"/>
    <w:semiHidden/>
    <w:unhideWhenUsed/>
    <w:rsid w:val="007018C0"/>
    <w:rPr>
      <w:color w:val="0000FF"/>
      <w:u w:val="single"/>
    </w:rPr>
  </w:style>
  <w:style w:type="character" w:styleId="Textoennegrita">
    <w:name w:val="Strong"/>
    <w:basedOn w:val="Fuentedeprrafopredeter"/>
    <w:uiPriority w:val="22"/>
    <w:qFormat/>
    <w:rsid w:val="00B948C0"/>
    <w:rPr>
      <w:b/>
      <w:bCs/>
    </w:rPr>
  </w:style>
  <w:style w:type="character" w:styleId="nfasis">
    <w:name w:val="Emphasis"/>
    <w:basedOn w:val="Fuentedeprrafopredeter"/>
    <w:uiPriority w:val="20"/>
    <w:qFormat/>
    <w:rsid w:val="00E46265"/>
    <w:rPr>
      <w:i/>
      <w:iCs/>
    </w:rPr>
  </w:style>
  <w:style w:type="paragraph" w:customStyle="1" w:styleId="Pa14">
    <w:name w:val="Pa14"/>
    <w:basedOn w:val="Default"/>
    <w:next w:val="Default"/>
    <w:uiPriority w:val="99"/>
    <w:rsid w:val="00F831DB"/>
    <w:pPr>
      <w:spacing w:line="191" w:lineRule="atLeast"/>
    </w:pPr>
    <w:rPr>
      <w:rFonts w:ascii="Utopia Std" w:hAnsi="Utopia Std" w:cstheme="minorBidi"/>
      <w:color w:val="auto"/>
    </w:rPr>
  </w:style>
  <w:style w:type="paragraph" w:styleId="Textodeglobo">
    <w:name w:val="Balloon Text"/>
    <w:basedOn w:val="Normal"/>
    <w:link w:val="TextodegloboCar"/>
    <w:uiPriority w:val="99"/>
    <w:semiHidden/>
    <w:unhideWhenUsed/>
    <w:rsid w:val="00531D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1DCB"/>
    <w:rPr>
      <w:rFonts w:ascii="Tahoma" w:hAnsi="Tahoma" w:cs="Tahoma"/>
      <w:sz w:val="16"/>
      <w:szCs w:val="16"/>
    </w:rPr>
  </w:style>
  <w:style w:type="paragraph" w:styleId="Encabezado">
    <w:name w:val="header"/>
    <w:basedOn w:val="Normal"/>
    <w:link w:val="EncabezadoCar"/>
    <w:uiPriority w:val="99"/>
    <w:semiHidden/>
    <w:unhideWhenUsed/>
    <w:rsid w:val="00C551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55172"/>
  </w:style>
  <w:style w:type="paragraph" w:styleId="Piedepgina">
    <w:name w:val="footer"/>
    <w:basedOn w:val="Normal"/>
    <w:link w:val="PiedepginaCar"/>
    <w:uiPriority w:val="99"/>
    <w:unhideWhenUsed/>
    <w:rsid w:val="00C551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5172"/>
  </w:style>
  <w:style w:type="paragraph" w:styleId="Textonotapie">
    <w:name w:val="footnote text"/>
    <w:basedOn w:val="Normal"/>
    <w:link w:val="TextonotapieCar"/>
    <w:uiPriority w:val="99"/>
    <w:semiHidden/>
    <w:unhideWhenUsed/>
    <w:rsid w:val="006529A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29A6"/>
    <w:rPr>
      <w:sz w:val="20"/>
      <w:szCs w:val="20"/>
    </w:rPr>
  </w:style>
  <w:style w:type="character" w:styleId="Refdenotaalpie">
    <w:name w:val="footnote reference"/>
    <w:basedOn w:val="Fuentedeprrafopredeter"/>
    <w:uiPriority w:val="99"/>
    <w:semiHidden/>
    <w:unhideWhenUsed/>
    <w:rsid w:val="006529A6"/>
    <w:rPr>
      <w:vertAlign w:val="superscript"/>
    </w:rPr>
  </w:style>
  <w:style w:type="paragraph" w:styleId="Textonotaalfinal">
    <w:name w:val="endnote text"/>
    <w:basedOn w:val="Normal"/>
    <w:link w:val="TextonotaalfinalCar"/>
    <w:uiPriority w:val="99"/>
    <w:semiHidden/>
    <w:unhideWhenUsed/>
    <w:rsid w:val="006529A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529A6"/>
    <w:rPr>
      <w:sz w:val="20"/>
      <w:szCs w:val="20"/>
    </w:rPr>
  </w:style>
  <w:style w:type="character" w:styleId="Refdenotaalfinal">
    <w:name w:val="endnote reference"/>
    <w:basedOn w:val="Fuentedeprrafopredeter"/>
    <w:uiPriority w:val="99"/>
    <w:semiHidden/>
    <w:unhideWhenUsed/>
    <w:rsid w:val="006529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63155">
      <w:bodyDiv w:val="1"/>
      <w:marLeft w:val="0"/>
      <w:marRight w:val="0"/>
      <w:marTop w:val="0"/>
      <w:marBottom w:val="0"/>
      <w:divBdr>
        <w:top w:val="none" w:sz="0" w:space="0" w:color="auto"/>
        <w:left w:val="none" w:sz="0" w:space="0" w:color="auto"/>
        <w:bottom w:val="none" w:sz="0" w:space="0" w:color="auto"/>
        <w:right w:val="none" w:sz="0" w:space="0" w:color="auto"/>
      </w:divBdr>
    </w:div>
    <w:div w:id="143354905">
      <w:bodyDiv w:val="1"/>
      <w:marLeft w:val="0"/>
      <w:marRight w:val="0"/>
      <w:marTop w:val="0"/>
      <w:marBottom w:val="0"/>
      <w:divBdr>
        <w:top w:val="none" w:sz="0" w:space="0" w:color="auto"/>
        <w:left w:val="none" w:sz="0" w:space="0" w:color="auto"/>
        <w:bottom w:val="none" w:sz="0" w:space="0" w:color="auto"/>
        <w:right w:val="none" w:sz="0" w:space="0" w:color="auto"/>
      </w:divBdr>
    </w:div>
    <w:div w:id="156850878">
      <w:bodyDiv w:val="1"/>
      <w:marLeft w:val="0"/>
      <w:marRight w:val="0"/>
      <w:marTop w:val="0"/>
      <w:marBottom w:val="0"/>
      <w:divBdr>
        <w:top w:val="none" w:sz="0" w:space="0" w:color="auto"/>
        <w:left w:val="none" w:sz="0" w:space="0" w:color="auto"/>
        <w:bottom w:val="none" w:sz="0" w:space="0" w:color="auto"/>
        <w:right w:val="none" w:sz="0" w:space="0" w:color="auto"/>
      </w:divBdr>
      <w:divsChild>
        <w:div w:id="1625308418">
          <w:marLeft w:val="0"/>
          <w:marRight w:val="0"/>
          <w:marTop w:val="120"/>
          <w:marBottom w:val="0"/>
          <w:divBdr>
            <w:top w:val="none" w:sz="0" w:space="0" w:color="auto"/>
            <w:left w:val="none" w:sz="0" w:space="0" w:color="auto"/>
            <w:bottom w:val="none" w:sz="0" w:space="0" w:color="auto"/>
            <w:right w:val="none" w:sz="0" w:space="0" w:color="auto"/>
          </w:divBdr>
        </w:div>
        <w:div w:id="49036703">
          <w:marLeft w:val="0"/>
          <w:marRight w:val="0"/>
          <w:marTop w:val="120"/>
          <w:marBottom w:val="0"/>
          <w:divBdr>
            <w:top w:val="none" w:sz="0" w:space="0" w:color="auto"/>
            <w:left w:val="none" w:sz="0" w:space="0" w:color="auto"/>
            <w:bottom w:val="none" w:sz="0" w:space="0" w:color="auto"/>
            <w:right w:val="none" w:sz="0" w:space="0" w:color="auto"/>
          </w:divBdr>
        </w:div>
        <w:div w:id="467550880">
          <w:marLeft w:val="0"/>
          <w:marRight w:val="0"/>
          <w:marTop w:val="120"/>
          <w:marBottom w:val="0"/>
          <w:divBdr>
            <w:top w:val="none" w:sz="0" w:space="0" w:color="auto"/>
            <w:left w:val="none" w:sz="0" w:space="0" w:color="auto"/>
            <w:bottom w:val="none" w:sz="0" w:space="0" w:color="auto"/>
            <w:right w:val="none" w:sz="0" w:space="0" w:color="auto"/>
          </w:divBdr>
        </w:div>
      </w:divsChild>
    </w:div>
    <w:div w:id="481968546">
      <w:bodyDiv w:val="1"/>
      <w:marLeft w:val="0"/>
      <w:marRight w:val="0"/>
      <w:marTop w:val="0"/>
      <w:marBottom w:val="0"/>
      <w:divBdr>
        <w:top w:val="none" w:sz="0" w:space="0" w:color="auto"/>
        <w:left w:val="none" w:sz="0" w:space="0" w:color="auto"/>
        <w:bottom w:val="none" w:sz="0" w:space="0" w:color="auto"/>
        <w:right w:val="none" w:sz="0" w:space="0" w:color="auto"/>
      </w:divBdr>
    </w:div>
    <w:div w:id="904874635">
      <w:bodyDiv w:val="1"/>
      <w:marLeft w:val="0"/>
      <w:marRight w:val="0"/>
      <w:marTop w:val="0"/>
      <w:marBottom w:val="0"/>
      <w:divBdr>
        <w:top w:val="none" w:sz="0" w:space="0" w:color="auto"/>
        <w:left w:val="none" w:sz="0" w:space="0" w:color="auto"/>
        <w:bottom w:val="none" w:sz="0" w:space="0" w:color="auto"/>
        <w:right w:val="none" w:sz="0" w:space="0" w:color="auto"/>
      </w:divBdr>
    </w:div>
    <w:div w:id="1123770770">
      <w:bodyDiv w:val="1"/>
      <w:marLeft w:val="0"/>
      <w:marRight w:val="0"/>
      <w:marTop w:val="0"/>
      <w:marBottom w:val="0"/>
      <w:divBdr>
        <w:top w:val="none" w:sz="0" w:space="0" w:color="auto"/>
        <w:left w:val="none" w:sz="0" w:space="0" w:color="auto"/>
        <w:bottom w:val="none" w:sz="0" w:space="0" w:color="auto"/>
        <w:right w:val="none" w:sz="0" w:space="0" w:color="auto"/>
      </w:divBdr>
      <w:divsChild>
        <w:div w:id="481122806">
          <w:marLeft w:val="0"/>
          <w:marRight w:val="0"/>
          <w:marTop w:val="0"/>
          <w:marBottom w:val="510"/>
          <w:divBdr>
            <w:top w:val="none" w:sz="0" w:space="0" w:color="auto"/>
            <w:left w:val="none" w:sz="0" w:space="0" w:color="auto"/>
            <w:bottom w:val="none" w:sz="0" w:space="0" w:color="auto"/>
            <w:right w:val="none" w:sz="0" w:space="0" w:color="auto"/>
          </w:divBdr>
        </w:div>
      </w:divsChild>
    </w:div>
    <w:div w:id="1159077107">
      <w:bodyDiv w:val="1"/>
      <w:marLeft w:val="0"/>
      <w:marRight w:val="0"/>
      <w:marTop w:val="0"/>
      <w:marBottom w:val="0"/>
      <w:divBdr>
        <w:top w:val="none" w:sz="0" w:space="0" w:color="auto"/>
        <w:left w:val="none" w:sz="0" w:space="0" w:color="auto"/>
        <w:bottom w:val="none" w:sz="0" w:space="0" w:color="auto"/>
        <w:right w:val="none" w:sz="0" w:space="0" w:color="auto"/>
      </w:divBdr>
    </w:div>
    <w:div w:id="1860074253">
      <w:bodyDiv w:val="1"/>
      <w:marLeft w:val="0"/>
      <w:marRight w:val="0"/>
      <w:marTop w:val="0"/>
      <w:marBottom w:val="0"/>
      <w:divBdr>
        <w:top w:val="none" w:sz="0" w:space="0" w:color="auto"/>
        <w:left w:val="none" w:sz="0" w:space="0" w:color="auto"/>
        <w:bottom w:val="none" w:sz="0" w:space="0" w:color="auto"/>
        <w:right w:val="none" w:sz="0" w:space="0" w:color="auto"/>
      </w:divBdr>
    </w:div>
    <w:div w:id="2087923029">
      <w:bodyDiv w:val="1"/>
      <w:marLeft w:val="0"/>
      <w:marRight w:val="0"/>
      <w:marTop w:val="0"/>
      <w:marBottom w:val="0"/>
      <w:divBdr>
        <w:top w:val="none" w:sz="0" w:space="0" w:color="auto"/>
        <w:left w:val="none" w:sz="0" w:space="0" w:color="auto"/>
        <w:bottom w:val="none" w:sz="0" w:space="0" w:color="auto"/>
        <w:right w:val="none" w:sz="0" w:space="0" w:color="auto"/>
      </w:divBdr>
      <w:divsChild>
        <w:div w:id="1528248731">
          <w:marLeft w:val="0"/>
          <w:marRight w:val="0"/>
          <w:marTop w:val="15"/>
          <w:marBottom w:val="0"/>
          <w:divBdr>
            <w:top w:val="none" w:sz="0" w:space="0" w:color="auto"/>
            <w:left w:val="none" w:sz="0" w:space="0" w:color="auto"/>
            <w:bottom w:val="none" w:sz="0" w:space="0" w:color="auto"/>
            <w:right w:val="none" w:sz="0" w:space="0" w:color="auto"/>
          </w:divBdr>
          <w:divsChild>
            <w:div w:id="2075227527">
              <w:marLeft w:val="0"/>
              <w:marRight w:val="0"/>
              <w:marTop w:val="0"/>
              <w:marBottom w:val="0"/>
              <w:divBdr>
                <w:top w:val="none" w:sz="0" w:space="0" w:color="auto"/>
                <w:left w:val="none" w:sz="0" w:space="0" w:color="auto"/>
                <w:bottom w:val="none" w:sz="0" w:space="0" w:color="auto"/>
                <w:right w:val="none" w:sz="0" w:space="0" w:color="auto"/>
              </w:divBdr>
              <w:divsChild>
                <w:div w:id="545801938">
                  <w:marLeft w:val="0"/>
                  <w:marRight w:val="0"/>
                  <w:marTop w:val="0"/>
                  <w:marBottom w:val="0"/>
                  <w:divBdr>
                    <w:top w:val="none" w:sz="0" w:space="0" w:color="auto"/>
                    <w:left w:val="none" w:sz="0" w:space="0" w:color="auto"/>
                    <w:bottom w:val="none" w:sz="0" w:space="0" w:color="auto"/>
                    <w:right w:val="none" w:sz="0" w:space="0" w:color="auto"/>
                  </w:divBdr>
                </w:div>
                <w:div w:id="1949239762">
                  <w:marLeft w:val="0"/>
                  <w:marRight w:val="0"/>
                  <w:marTop w:val="0"/>
                  <w:marBottom w:val="0"/>
                  <w:divBdr>
                    <w:top w:val="none" w:sz="0" w:space="0" w:color="auto"/>
                    <w:left w:val="none" w:sz="0" w:space="0" w:color="auto"/>
                    <w:bottom w:val="none" w:sz="0" w:space="0" w:color="auto"/>
                    <w:right w:val="none" w:sz="0" w:space="0" w:color="auto"/>
                  </w:divBdr>
                </w:div>
                <w:div w:id="1417288317">
                  <w:marLeft w:val="0"/>
                  <w:marRight w:val="0"/>
                  <w:marTop w:val="0"/>
                  <w:marBottom w:val="0"/>
                  <w:divBdr>
                    <w:top w:val="none" w:sz="0" w:space="0" w:color="auto"/>
                    <w:left w:val="none" w:sz="0" w:space="0" w:color="auto"/>
                    <w:bottom w:val="none" w:sz="0" w:space="0" w:color="auto"/>
                    <w:right w:val="none" w:sz="0" w:space="0" w:color="auto"/>
                  </w:divBdr>
                </w:div>
                <w:div w:id="1101410827">
                  <w:marLeft w:val="0"/>
                  <w:marRight w:val="0"/>
                  <w:marTop w:val="0"/>
                  <w:marBottom w:val="0"/>
                  <w:divBdr>
                    <w:top w:val="none" w:sz="0" w:space="0" w:color="auto"/>
                    <w:left w:val="none" w:sz="0" w:space="0" w:color="auto"/>
                    <w:bottom w:val="none" w:sz="0" w:space="0" w:color="auto"/>
                    <w:right w:val="none" w:sz="0" w:space="0" w:color="auto"/>
                  </w:divBdr>
                </w:div>
                <w:div w:id="1694845381">
                  <w:marLeft w:val="0"/>
                  <w:marRight w:val="0"/>
                  <w:marTop w:val="0"/>
                  <w:marBottom w:val="0"/>
                  <w:divBdr>
                    <w:top w:val="none" w:sz="0" w:space="0" w:color="auto"/>
                    <w:left w:val="none" w:sz="0" w:space="0" w:color="auto"/>
                    <w:bottom w:val="none" w:sz="0" w:space="0" w:color="auto"/>
                    <w:right w:val="none" w:sz="0" w:space="0" w:color="auto"/>
                  </w:divBdr>
                </w:div>
                <w:div w:id="655954315">
                  <w:marLeft w:val="0"/>
                  <w:marRight w:val="0"/>
                  <w:marTop w:val="0"/>
                  <w:marBottom w:val="0"/>
                  <w:divBdr>
                    <w:top w:val="none" w:sz="0" w:space="0" w:color="auto"/>
                    <w:left w:val="none" w:sz="0" w:space="0" w:color="auto"/>
                    <w:bottom w:val="none" w:sz="0" w:space="0" w:color="auto"/>
                    <w:right w:val="none" w:sz="0" w:space="0" w:color="auto"/>
                  </w:divBdr>
                </w:div>
                <w:div w:id="255142281">
                  <w:marLeft w:val="0"/>
                  <w:marRight w:val="0"/>
                  <w:marTop w:val="0"/>
                  <w:marBottom w:val="0"/>
                  <w:divBdr>
                    <w:top w:val="none" w:sz="0" w:space="0" w:color="auto"/>
                    <w:left w:val="none" w:sz="0" w:space="0" w:color="auto"/>
                    <w:bottom w:val="none" w:sz="0" w:space="0" w:color="auto"/>
                    <w:right w:val="none" w:sz="0" w:space="0" w:color="auto"/>
                  </w:divBdr>
                </w:div>
                <w:div w:id="1948393429">
                  <w:marLeft w:val="0"/>
                  <w:marRight w:val="0"/>
                  <w:marTop w:val="0"/>
                  <w:marBottom w:val="0"/>
                  <w:divBdr>
                    <w:top w:val="none" w:sz="0" w:space="0" w:color="auto"/>
                    <w:left w:val="none" w:sz="0" w:space="0" w:color="auto"/>
                    <w:bottom w:val="none" w:sz="0" w:space="0" w:color="auto"/>
                    <w:right w:val="none" w:sz="0" w:space="0" w:color="auto"/>
                  </w:divBdr>
                </w:div>
                <w:div w:id="987781815">
                  <w:marLeft w:val="0"/>
                  <w:marRight w:val="0"/>
                  <w:marTop w:val="0"/>
                  <w:marBottom w:val="0"/>
                  <w:divBdr>
                    <w:top w:val="none" w:sz="0" w:space="0" w:color="auto"/>
                    <w:left w:val="none" w:sz="0" w:space="0" w:color="auto"/>
                    <w:bottom w:val="none" w:sz="0" w:space="0" w:color="auto"/>
                    <w:right w:val="none" w:sz="0" w:space="0" w:color="auto"/>
                  </w:divBdr>
                </w:div>
                <w:div w:id="1221746061">
                  <w:marLeft w:val="0"/>
                  <w:marRight w:val="0"/>
                  <w:marTop w:val="0"/>
                  <w:marBottom w:val="0"/>
                  <w:divBdr>
                    <w:top w:val="none" w:sz="0" w:space="0" w:color="auto"/>
                    <w:left w:val="none" w:sz="0" w:space="0" w:color="auto"/>
                    <w:bottom w:val="none" w:sz="0" w:space="0" w:color="auto"/>
                    <w:right w:val="none" w:sz="0" w:space="0" w:color="auto"/>
                  </w:divBdr>
                </w:div>
                <w:div w:id="267390589">
                  <w:marLeft w:val="0"/>
                  <w:marRight w:val="0"/>
                  <w:marTop w:val="0"/>
                  <w:marBottom w:val="0"/>
                  <w:divBdr>
                    <w:top w:val="none" w:sz="0" w:space="0" w:color="auto"/>
                    <w:left w:val="none" w:sz="0" w:space="0" w:color="auto"/>
                    <w:bottom w:val="none" w:sz="0" w:space="0" w:color="auto"/>
                    <w:right w:val="none" w:sz="0" w:space="0" w:color="auto"/>
                  </w:divBdr>
                </w:div>
                <w:div w:id="1645544161">
                  <w:marLeft w:val="0"/>
                  <w:marRight w:val="0"/>
                  <w:marTop w:val="0"/>
                  <w:marBottom w:val="0"/>
                  <w:divBdr>
                    <w:top w:val="none" w:sz="0" w:space="0" w:color="auto"/>
                    <w:left w:val="none" w:sz="0" w:space="0" w:color="auto"/>
                    <w:bottom w:val="none" w:sz="0" w:space="0" w:color="auto"/>
                    <w:right w:val="none" w:sz="0" w:space="0" w:color="auto"/>
                  </w:divBdr>
                </w:div>
                <w:div w:id="1733843620">
                  <w:marLeft w:val="0"/>
                  <w:marRight w:val="0"/>
                  <w:marTop w:val="0"/>
                  <w:marBottom w:val="0"/>
                  <w:divBdr>
                    <w:top w:val="none" w:sz="0" w:space="0" w:color="auto"/>
                    <w:left w:val="none" w:sz="0" w:space="0" w:color="auto"/>
                    <w:bottom w:val="none" w:sz="0" w:space="0" w:color="auto"/>
                    <w:right w:val="none" w:sz="0" w:space="0" w:color="auto"/>
                  </w:divBdr>
                </w:div>
                <w:div w:id="1850411033">
                  <w:marLeft w:val="0"/>
                  <w:marRight w:val="0"/>
                  <w:marTop w:val="0"/>
                  <w:marBottom w:val="0"/>
                  <w:divBdr>
                    <w:top w:val="none" w:sz="0" w:space="0" w:color="auto"/>
                    <w:left w:val="none" w:sz="0" w:space="0" w:color="auto"/>
                    <w:bottom w:val="none" w:sz="0" w:space="0" w:color="auto"/>
                    <w:right w:val="none" w:sz="0" w:space="0" w:color="auto"/>
                  </w:divBdr>
                </w:div>
                <w:div w:id="1016689583">
                  <w:marLeft w:val="0"/>
                  <w:marRight w:val="0"/>
                  <w:marTop w:val="0"/>
                  <w:marBottom w:val="0"/>
                  <w:divBdr>
                    <w:top w:val="none" w:sz="0" w:space="0" w:color="auto"/>
                    <w:left w:val="none" w:sz="0" w:space="0" w:color="auto"/>
                    <w:bottom w:val="none" w:sz="0" w:space="0" w:color="auto"/>
                    <w:right w:val="none" w:sz="0" w:space="0" w:color="auto"/>
                  </w:divBdr>
                </w:div>
                <w:div w:id="432089842">
                  <w:marLeft w:val="0"/>
                  <w:marRight w:val="0"/>
                  <w:marTop w:val="0"/>
                  <w:marBottom w:val="0"/>
                  <w:divBdr>
                    <w:top w:val="none" w:sz="0" w:space="0" w:color="auto"/>
                    <w:left w:val="none" w:sz="0" w:space="0" w:color="auto"/>
                    <w:bottom w:val="none" w:sz="0" w:space="0" w:color="auto"/>
                    <w:right w:val="none" w:sz="0" w:space="0" w:color="auto"/>
                  </w:divBdr>
                </w:div>
                <w:div w:id="199053597">
                  <w:marLeft w:val="0"/>
                  <w:marRight w:val="0"/>
                  <w:marTop w:val="0"/>
                  <w:marBottom w:val="0"/>
                  <w:divBdr>
                    <w:top w:val="none" w:sz="0" w:space="0" w:color="auto"/>
                    <w:left w:val="none" w:sz="0" w:space="0" w:color="auto"/>
                    <w:bottom w:val="none" w:sz="0" w:space="0" w:color="auto"/>
                    <w:right w:val="none" w:sz="0" w:space="0" w:color="auto"/>
                  </w:divBdr>
                </w:div>
                <w:div w:id="1748960521">
                  <w:marLeft w:val="0"/>
                  <w:marRight w:val="0"/>
                  <w:marTop w:val="0"/>
                  <w:marBottom w:val="0"/>
                  <w:divBdr>
                    <w:top w:val="none" w:sz="0" w:space="0" w:color="auto"/>
                    <w:left w:val="none" w:sz="0" w:space="0" w:color="auto"/>
                    <w:bottom w:val="none" w:sz="0" w:space="0" w:color="auto"/>
                    <w:right w:val="none" w:sz="0" w:space="0" w:color="auto"/>
                  </w:divBdr>
                </w:div>
                <w:div w:id="746070975">
                  <w:marLeft w:val="0"/>
                  <w:marRight w:val="0"/>
                  <w:marTop w:val="0"/>
                  <w:marBottom w:val="0"/>
                  <w:divBdr>
                    <w:top w:val="none" w:sz="0" w:space="0" w:color="auto"/>
                    <w:left w:val="none" w:sz="0" w:space="0" w:color="auto"/>
                    <w:bottom w:val="none" w:sz="0" w:space="0" w:color="auto"/>
                    <w:right w:val="none" w:sz="0" w:space="0" w:color="auto"/>
                  </w:divBdr>
                </w:div>
                <w:div w:id="1903522287">
                  <w:marLeft w:val="0"/>
                  <w:marRight w:val="0"/>
                  <w:marTop w:val="0"/>
                  <w:marBottom w:val="0"/>
                  <w:divBdr>
                    <w:top w:val="none" w:sz="0" w:space="0" w:color="auto"/>
                    <w:left w:val="none" w:sz="0" w:space="0" w:color="auto"/>
                    <w:bottom w:val="none" w:sz="0" w:space="0" w:color="auto"/>
                    <w:right w:val="none" w:sz="0" w:space="0" w:color="auto"/>
                  </w:divBdr>
                </w:div>
                <w:div w:id="2134980800">
                  <w:marLeft w:val="0"/>
                  <w:marRight w:val="0"/>
                  <w:marTop w:val="0"/>
                  <w:marBottom w:val="0"/>
                  <w:divBdr>
                    <w:top w:val="none" w:sz="0" w:space="0" w:color="auto"/>
                    <w:left w:val="none" w:sz="0" w:space="0" w:color="auto"/>
                    <w:bottom w:val="none" w:sz="0" w:space="0" w:color="auto"/>
                    <w:right w:val="none" w:sz="0" w:space="0" w:color="auto"/>
                  </w:divBdr>
                </w:div>
                <w:div w:id="994451436">
                  <w:marLeft w:val="0"/>
                  <w:marRight w:val="0"/>
                  <w:marTop w:val="0"/>
                  <w:marBottom w:val="0"/>
                  <w:divBdr>
                    <w:top w:val="none" w:sz="0" w:space="0" w:color="auto"/>
                    <w:left w:val="none" w:sz="0" w:space="0" w:color="auto"/>
                    <w:bottom w:val="none" w:sz="0" w:space="0" w:color="auto"/>
                    <w:right w:val="none" w:sz="0" w:space="0" w:color="auto"/>
                  </w:divBdr>
                </w:div>
                <w:div w:id="815222763">
                  <w:marLeft w:val="0"/>
                  <w:marRight w:val="0"/>
                  <w:marTop w:val="0"/>
                  <w:marBottom w:val="0"/>
                  <w:divBdr>
                    <w:top w:val="none" w:sz="0" w:space="0" w:color="auto"/>
                    <w:left w:val="none" w:sz="0" w:space="0" w:color="auto"/>
                    <w:bottom w:val="none" w:sz="0" w:space="0" w:color="auto"/>
                    <w:right w:val="none" w:sz="0" w:space="0" w:color="auto"/>
                  </w:divBdr>
                </w:div>
                <w:div w:id="216625910">
                  <w:marLeft w:val="0"/>
                  <w:marRight w:val="0"/>
                  <w:marTop w:val="0"/>
                  <w:marBottom w:val="0"/>
                  <w:divBdr>
                    <w:top w:val="none" w:sz="0" w:space="0" w:color="auto"/>
                    <w:left w:val="none" w:sz="0" w:space="0" w:color="auto"/>
                    <w:bottom w:val="none" w:sz="0" w:space="0" w:color="auto"/>
                    <w:right w:val="none" w:sz="0" w:space="0" w:color="auto"/>
                  </w:divBdr>
                </w:div>
                <w:div w:id="1878346400">
                  <w:marLeft w:val="0"/>
                  <w:marRight w:val="0"/>
                  <w:marTop w:val="0"/>
                  <w:marBottom w:val="0"/>
                  <w:divBdr>
                    <w:top w:val="none" w:sz="0" w:space="0" w:color="auto"/>
                    <w:left w:val="none" w:sz="0" w:space="0" w:color="auto"/>
                    <w:bottom w:val="none" w:sz="0" w:space="0" w:color="auto"/>
                    <w:right w:val="none" w:sz="0" w:space="0" w:color="auto"/>
                  </w:divBdr>
                </w:div>
                <w:div w:id="1756855114">
                  <w:marLeft w:val="0"/>
                  <w:marRight w:val="0"/>
                  <w:marTop w:val="0"/>
                  <w:marBottom w:val="0"/>
                  <w:divBdr>
                    <w:top w:val="none" w:sz="0" w:space="0" w:color="auto"/>
                    <w:left w:val="none" w:sz="0" w:space="0" w:color="auto"/>
                    <w:bottom w:val="none" w:sz="0" w:space="0" w:color="auto"/>
                    <w:right w:val="none" w:sz="0" w:space="0" w:color="auto"/>
                  </w:divBdr>
                </w:div>
                <w:div w:id="1805656210">
                  <w:marLeft w:val="0"/>
                  <w:marRight w:val="0"/>
                  <w:marTop w:val="0"/>
                  <w:marBottom w:val="0"/>
                  <w:divBdr>
                    <w:top w:val="none" w:sz="0" w:space="0" w:color="auto"/>
                    <w:left w:val="none" w:sz="0" w:space="0" w:color="auto"/>
                    <w:bottom w:val="none" w:sz="0" w:space="0" w:color="auto"/>
                    <w:right w:val="none" w:sz="0" w:space="0" w:color="auto"/>
                  </w:divBdr>
                </w:div>
                <w:div w:id="31536088">
                  <w:marLeft w:val="0"/>
                  <w:marRight w:val="0"/>
                  <w:marTop w:val="0"/>
                  <w:marBottom w:val="0"/>
                  <w:divBdr>
                    <w:top w:val="none" w:sz="0" w:space="0" w:color="auto"/>
                    <w:left w:val="none" w:sz="0" w:space="0" w:color="auto"/>
                    <w:bottom w:val="none" w:sz="0" w:space="0" w:color="auto"/>
                    <w:right w:val="none" w:sz="0" w:space="0" w:color="auto"/>
                  </w:divBdr>
                </w:div>
                <w:div w:id="1904558023">
                  <w:marLeft w:val="0"/>
                  <w:marRight w:val="0"/>
                  <w:marTop w:val="0"/>
                  <w:marBottom w:val="0"/>
                  <w:divBdr>
                    <w:top w:val="none" w:sz="0" w:space="0" w:color="auto"/>
                    <w:left w:val="none" w:sz="0" w:space="0" w:color="auto"/>
                    <w:bottom w:val="none" w:sz="0" w:space="0" w:color="auto"/>
                    <w:right w:val="none" w:sz="0" w:space="0" w:color="auto"/>
                  </w:divBdr>
                </w:div>
                <w:div w:id="1451969673">
                  <w:marLeft w:val="0"/>
                  <w:marRight w:val="0"/>
                  <w:marTop w:val="0"/>
                  <w:marBottom w:val="0"/>
                  <w:divBdr>
                    <w:top w:val="none" w:sz="0" w:space="0" w:color="auto"/>
                    <w:left w:val="none" w:sz="0" w:space="0" w:color="auto"/>
                    <w:bottom w:val="none" w:sz="0" w:space="0" w:color="auto"/>
                    <w:right w:val="none" w:sz="0" w:space="0" w:color="auto"/>
                  </w:divBdr>
                </w:div>
                <w:div w:id="1256085932">
                  <w:marLeft w:val="0"/>
                  <w:marRight w:val="0"/>
                  <w:marTop w:val="0"/>
                  <w:marBottom w:val="0"/>
                  <w:divBdr>
                    <w:top w:val="none" w:sz="0" w:space="0" w:color="auto"/>
                    <w:left w:val="none" w:sz="0" w:space="0" w:color="auto"/>
                    <w:bottom w:val="none" w:sz="0" w:space="0" w:color="auto"/>
                    <w:right w:val="none" w:sz="0" w:space="0" w:color="auto"/>
                  </w:divBdr>
                </w:div>
                <w:div w:id="1278366990">
                  <w:marLeft w:val="0"/>
                  <w:marRight w:val="0"/>
                  <w:marTop w:val="0"/>
                  <w:marBottom w:val="0"/>
                  <w:divBdr>
                    <w:top w:val="none" w:sz="0" w:space="0" w:color="auto"/>
                    <w:left w:val="none" w:sz="0" w:space="0" w:color="auto"/>
                    <w:bottom w:val="none" w:sz="0" w:space="0" w:color="auto"/>
                    <w:right w:val="none" w:sz="0" w:space="0" w:color="auto"/>
                  </w:divBdr>
                </w:div>
                <w:div w:id="538860724">
                  <w:marLeft w:val="0"/>
                  <w:marRight w:val="0"/>
                  <w:marTop w:val="0"/>
                  <w:marBottom w:val="0"/>
                  <w:divBdr>
                    <w:top w:val="none" w:sz="0" w:space="0" w:color="auto"/>
                    <w:left w:val="none" w:sz="0" w:space="0" w:color="auto"/>
                    <w:bottom w:val="none" w:sz="0" w:space="0" w:color="auto"/>
                    <w:right w:val="none" w:sz="0" w:space="0" w:color="auto"/>
                  </w:divBdr>
                </w:div>
                <w:div w:id="20109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A52F4-348C-49CB-AF80-E94FD12AF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6168</Words>
  <Characters>33924</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Usuario</cp:lastModifiedBy>
  <cp:revision>6</cp:revision>
  <cp:lastPrinted>2017-05-13T15:23:00Z</cp:lastPrinted>
  <dcterms:created xsi:type="dcterms:W3CDTF">2017-12-17T21:09:00Z</dcterms:created>
  <dcterms:modified xsi:type="dcterms:W3CDTF">2017-12-22T13:28:00Z</dcterms:modified>
</cp:coreProperties>
</file>