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2E" w:rsidRPr="004666C0" w:rsidRDefault="00F9112E" w:rsidP="0014758F">
      <w:pPr>
        <w:spacing w:after="0" w:line="360" w:lineRule="auto"/>
        <w:jc w:val="both"/>
        <w:rPr>
          <w:rFonts w:ascii="Arial" w:hAnsi="Arial" w:cs="Arial"/>
          <w:b/>
          <w:bCs/>
          <w:sz w:val="24"/>
          <w:szCs w:val="24"/>
          <w:u w:val="single"/>
          <w:lang w:val="pt-BR"/>
        </w:rPr>
      </w:pPr>
      <w:r w:rsidRPr="004666C0">
        <w:rPr>
          <w:rFonts w:ascii="Arial" w:hAnsi="Arial" w:cs="Arial"/>
          <w:b/>
          <w:bCs/>
          <w:sz w:val="24"/>
          <w:szCs w:val="24"/>
          <w:u w:val="single"/>
          <w:lang w:val="pt-BR"/>
        </w:rPr>
        <w:t>STJSL-</w:t>
      </w:r>
      <w:proofErr w:type="gramStart"/>
      <w:r w:rsidRPr="004666C0">
        <w:rPr>
          <w:rFonts w:ascii="Arial" w:hAnsi="Arial" w:cs="Arial"/>
          <w:b/>
          <w:bCs/>
          <w:sz w:val="24"/>
          <w:szCs w:val="24"/>
          <w:u w:val="single"/>
          <w:lang w:val="pt-BR"/>
        </w:rPr>
        <w:t>S.</w:t>
      </w:r>
      <w:proofErr w:type="gramEnd"/>
      <w:r w:rsidRPr="004666C0">
        <w:rPr>
          <w:rFonts w:ascii="Arial" w:hAnsi="Arial" w:cs="Arial"/>
          <w:b/>
          <w:bCs/>
          <w:sz w:val="24"/>
          <w:szCs w:val="24"/>
          <w:u w:val="single"/>
          <w:lang w:val="pt-BR"/>
        </w:rPr>
        <w:t xml:space="preserve">J. – S.D. Nº </w:t>
      </w:r>
      <w:proofErr w:type="gramStart"/>
      <w:r w:rsidR="00D16C6A">
        <w:rPr>
          <w:rFonts w:ascii="Arial" w:hAnsi="Arial" w:cs="Arial"/>
          <w:b/>
          <w:bCs/>
          <w:sz w:val="24"/>
          <w:szCs w:val="24"/>
          <w:u w:val="single"/>
          <w:lang w:val="pt-BR"/>
        </w:rPr>
        <w:t>174</w:t>
      </w:r>
      <w:r w:rsidRPr="004666C0">
        <w:rPr>
          <w:rFonts w:ascii="Arial" w:hAnsi="Arial" w:cs="Arial"/>
          <w:b/>
          <w:bCs/>
          <w:sz w:val="24"/>
          <w:szCs w:val="24"/>
          <w:u w:val="single"/>
          <w:lang w:val="pt-BR"/>
        </w:rPr>
        <w:t>/19.</w:t>
      </w:r>
      <w:proofErr w:type="gramEnd"/>
      <w:r w:rsidRPr="004666C0">
        <w:rPr>
          <w:rFonts w:ascii="Arial" w:hAnsi="Arial" w:cs="Arial"/>
          <w:b/>
          <w:bCs/>
          <w:sz w:val="24"/>
          <w:szCs w:val="24"/>
          <w:u w:val="single"/>
          <w:lang w:val="pt-BR"/>
        </w:rPr>
        <w:t>-</w:t>
      </w:r>
    </w:p>
    <w:p w:rsidR="00271750" w:rsidRDefault="00F9112E" w:rsidP="0014758F">
      <w:pPr>
        <w:spacing w:after="0" w:line="360" w:lineRule="auto"/>
        <w:jc w:val="both"/>
        <w:rPr>
          <w:rFonts w:ascii="Arial" w:hAnsi="Arial" w:cs="Arial"/>
          <w:bCs/>
          <w:sz w:val="24"/>
          <w:szCs w:val="24"/>
          <w:lang w:val="pt-BR"/>
        </w:rPr>
      </w:pPr>
      <w:r w:rsidRPr="004666C0">
        <w:rPr>
          <w:rFonts w:ascii="Arial" w:eastAsia="MS Mincho" w:hAnsi="Arial" w:cs="Arial"/>
          <w:sz w:val="24"/>
          <w:szCs w:val="24"/>
        </w:rPr>
        <w:t xml:space="preserve">--En la Provincia de San Luis, </w:t>
      </w:r>
      <w:r w:rsidRPr="004666C0">
        <w:rPr>
          <w:rFonts w:ascii="Arial" w:eastAsia="MS Mincho" w:hAnsi="Arial" w:cs="Arial"/>
          <w:b/>
          <w:bCs/>
          <w:sz w:val="24"/>
          <w:szCs w:val="24"/>
        </w:rPr>
        <w:t xml:space="preserve">a </w:t>
      </w:r>
      <w:r w:rsidR="00771D94">
        <w:rPr>
          <w:rFonts w:ascii="Arial" w:eastAsia="MS Mincho" w:hAnsi="Arial" w:cs="Arial"/>
          <w:b/>
          <w:bCs/>
          <w:sz w:val="24"/>
          <w:szCs w:val="24"/>
        </w:rPr>
        <w:t>diecisiete</w:t>
      </w:r>
      <w:r w:rsidRPr="004666C0">
        <w:rPr>
          <w:rFonts w:ascii="Arial" w:eastAsia="MS Mincho" w:hAnsi="Arial" w:cs="Arial"/>
          <w:b/>
          <w:bCs/>
          <w:sz w:val="24"/>
          <w:szCs w:val="24"/>
        </w:rPr>
        <w:t xml:space="preserve"> días del mes de </w:t>
      </w:r>
      <w:r>
        <w:rPr>
          <w:rFonts w:ascii="Arial" w:eastAsia="MS Mincho" w:hAnsi="Arial" w:cs="Arial"/>
          <w:b/>
          <w:bCs/>
          <w:sz w:val="24"/>
          <w:szCs w:val="24"/>
        </w:rPr>
        <w:t xml:space="preserve">octubre </w:t>
      </w:r>
      <w:r w:rsidRPr="004666C0">
        <w:rPr>
          <w:rFonts w:ascii="Arial" w:eastAsia="MS Mincho" w:hAnsi="Arial" w:cs="Arial"/>
          <w:b/>
          <w:bCs/>
          <w:sz w:val="24"/>
          <w:szCs w:val="24"/>
        </w:rPr>
        <w:t>de dos mil diecinueve</w:t>
      </w:r>
      <w:r w:rsidRPr="004666C0">
        <w:rPr>
          <w:rFonts w:ascii="Arial" w:eastAsia="MS Mincho" w:hAnsi="Arial" w:cs="Arial"/>
          <w:sz w:val="24"/>
          <w:szCs w:val="24"/>
        </w:rPr>
        <w:t>,</w:t>
      </w:r>
      <w:r w:rsidRPr="004666C0">
        <w:rPr>
          <w:rFonts w:ascii="Arial" w:eastAsia="MS Mincho" w:hAnsi="Arial" w:cs="Arial"/>
          <w:i/>
          <w:sz w:val="24"/>
          <w:szCs w:val="24"/>
        </w:rPr>
        <w:t xml:space="preserve"> </w:t>
      </w:r>
      <w:r w:rsidRPr="004666C0">
        <w:rPr>
          <w:rFonts w:ascii="Arial" w:eastAsia="MS Mincho" w:hAnsi="Arial" w:cs="Arial"/>
          <w:sz w:val="24"/>
          <w:szCs w:val="24"/>
        </w:rPr>
        <w:t xml:space="preserve">se reúnen en Audiencia Pública los Señores Ministros </w:t>
      </w:r>
      <w:proofErr w:type="spellStart"/>
      <w:r w:rsidRPr="004666C0">
        <w:rPr>
          <w:rFonts w:ascii="Arial" w:eastAsia="MS Mincho" w:hAnsi="Arial" w:cs="Arial"/>
          <w:sz w:val="24"/>
          <w:szCs w:val="24"/>
        </w:rPr>
        <w:t>Dres</w:t>
      </w:r>
      <w:proofErr w:type="spellEnd"/>
      <w:r w:rsidRPr="004666C0">
        <w:rPr>
          <w:rFonts w:ascii="Arial" w:eastAsia="MS Mincho" w:hAnsi="Arial" w:cs="Arial"/>
          <w:sz w:val="24"/>
          <w:szCs w:val="24"/>
        </w:rPr>
        <w:t>. CARLOS ALBERTO COBO, MARTHA RAQUEL CORVALÁN y LILIA ANA NOVILLO - Miembros del SUPERIOR TRIBUNAL DE JUSTICIA, para dictar sentencia en los autos</w:t>
      </w:r>
      <w:r w:rsidRPr="004666C0">
        <w:rPr>
          <w:rFonts w:ascii="Arial" w:eastAsia="MS Mincho" w:hAnsi="Arial" w:cs="Arial"/>
          <w:i/>
          <w:iCs/>
          <w:sz w:val="24"/>
          <w:szCs w:val="24"/>
        </w:rPr>
        <w:t xml:space="preserve">: </w:t>
      </w:r>
      <w:r w:rsidRPr="004666C0">
        <w:rPr>
          <w:rFonts w:ascii="Arial" w:hAnsi="Arial" w:cs="Arial"/>
          <w:b/>
          <w:bCs/>
          <w:i/>
          <w:sz w:val="24"/>
          <w:szCs w:val="24"/>
          <w:lang w:val="pt-BR"/>
        </w:rPr>
        <w:t>“</w:t>
      </w:r>
      <w:r w:rsidR="00F275E6" w:rsidRPr="00F275E6">
        <w:rPr>
          <w:rFonts w:ascii="Arial" w:hAnsi="Arial" w:cs="Arial"/>
          <w:b/>
          <w:bCs/>
          <w:i/>
          <w:sz w:val="24"/>
          <w:szCs w:val="24"/>
        </w:rPr>
        <w:t xml:space="preserve">TORRES ARNALDO OPTIMIO </w:t>
      </w:r>
      <w:r w:rsidR="00F275E6">
        <w:rPr>
          <w:rFonts w:ascii="Arial" w:hAnsi="Arial" w:cs="Arial"/>
          <w:b/>
          <w:bCs/>
          <w:i/>
          <w:sz w:val="24"/>
          <w:szCs w:val="24"/>
        </w:rPr>
        <w:t>c</w:t>
      </w:r>
      <w:r w:rsidR="00F275E6" w:rsidRPr="00F275E6">
        <w:rPr>
          <w:rFonts w:ascii="Arial" w:hAnsi="Arial" w:cs="Arial"/>
          <w:b/>
          <w:bCs/>
          <w:i/>
          <w:sz w:val="24"/>
          <w:szCs w:val="24"/>
        </w:rPr>
        <w:t xml:space="preserve">/ UOM </w:t>
      </w:r>
      <w:r w:rsidR="00F275E6">
        <w:rPr>
          <w:rFonts w:ascii="Arial" w:hAnsi="Arial" w:cs="Arial"/>
          <w:b/>
          <w:bCs/>
          <w:i/>
          <w:sz w:val="24"/>
          <w:szCs w:val="24"/>
        </w:rPr>
        <w:t>s</w:t>
      </w:r>
      <w:r w:rsidR="00F275E6" w:rsidRPr="00F275E6">
        <w:rPr>
          <w:rFonts w:ascii="Arial" w:hAnsi="Arial" w:cs="Arial"/>
          <w:b/>
          <w:bCs/>
          <w:i/>
          <w:sz w:val="24"/>
          <w:szCs w:val="24"/>
        </w:rPr>
        <w:t>/ COBRO DE PES</w:t>
      </w:r>
      <w:r w:rsidR="00F275E6">
        <w:rPr>
          <w:rFonts w:ascii="Arial" w:hAnsi="Arial" w:cs="Arial"/>
          <w:b/>
          <w:bCs/>
          <w:i/>
          <w:sz w:val="24"/>
          <w:szCs w:val="24"/>
        </w:rPr>
        <w:t>OS - LABORAL -</w:t>
      </w:r>
      <w:r w:rsidR="00914293">
        <w:rPr>
          <w:rFonts w:ascii="Arial" w:hAnsi="Arial" w:cs="Arial"/>
          <w:b/>
          <w:bCs/>
          <w:i/>
          <w:sz w:val="24"/>
          <w:szCs w:val="24"/>
        </w:rPr>
        <w:t xml:space="preserve"> </w:t>
      </w:r>
      <w:r w:rsidR="00F275E6">
        <w:rPr>
          <w:rFonts w:ascii="Arial" w:hAnsi="Arial" w:cs="Arial"/>
          <w:b/>
          <w:bCs/>
          <w:i/>
          <w:sz w:val="24"/>
          <w:szCs w:val="24"/>
        </w:rPr>
        <w:t>RECURSO DE CASACIÓ</w:t>
      </w:r>
      <w:r w:rsidR="00F275E6" w:rsidRPr="00F275E6">
        <w:rPr>
          <w:rFonts w:ascii="Arial" w:hAnsi="Arial" w:cs="Arial"/>
          <w:b/>
          <w:bCs/>
          <w:i/>
          <w:sz w:val="24"/>
          <w:szCs w:val="24"/>
        </w:rPr>
        <w:t>N</w:t>
      </w:r>
      <w:r w:rsidRPr="004666C0">
        <w:rPr>
          <w:rFonts w:ascii="Arial" w:hAnsi="Arial" w:cs="Arial"/>
          <w:b/>
          <w:bCs/>
          <w:i/>
          <w:sz w:val="24"/>
          <w:szCs w:val="24"/>
          <w:lang w:val="pt-BR"/>
        </w:rPr>
        <w:t>”</w:t>
      </w:r>
      <w:r w:rsidRPr="004666C0">
        <w:rPr>
          <w:rFonts w:ascii="Arial" w:hAnsi="Arial" w:cs="Arial"/>
          <w:b/>
          <w:bCs/>
          <w:sz w:val="24"/>
          <w:szCs w:val="24"/>
          <w:lang w:val="pt-BR"/>
        </w:rPr>
        <w:t xml:space="preserve"> – </w:t>
      </w:r>
      <w:r>
        <w:rPr>
          <w:rFonts w:ascii="Arial" w:hAnsi="Arial" w:cs="Arial"/>
          <w:bCs/>
          <w:sz w:val="24"/>
          <w:szCs w:val="24"/>
          <w:lang w:val="pt-BR"/>
        </w:rPr>
        <w:t xml:space="preserve">IURIX </w:t>
      </w:r>
      <w:r w:rsidR="00055616">
        <w:rPr>
          <w:rFonts w:ascii="Arial" w:hAnsi="Arial" w:cs="Arial"/>
          <w:bCs/>
          <w:sz w:val="24"/>
          <w:szCs w:val="24"/>
          <w:lang w:val="pt-BR"/>
        </w:rPr>
        <w:t>EXP</w:t>
      </w:r>
      <w:r w:rsidRPr="004666C0">
        <w:rPr>
          <w:rFonts w:ascii="Arial" w:hAnsi="Arial" w:cs="Arial"/>
          <w:bCs/>
          <w:sz w:val="24"/>
          <w:szCs w:val="24"/>
          <w:lang w:val="pt-BR"/>
        </w:rPr>
        <w:t xml:space="preserve"> Nº </w:t>
      </w:r>
      <w:r w:rsidR="00055616">
        <w:rPr>
          <w:rFonts w:ascii="Arial" w:hAnsi="Arial" w:cs="Arial"/>
          <w:bCs/>
          <w:sz w:val="24"/>
          <w:szCs w:val="24"/>
          <w:lang w:val="pt-BR"/>
        </w:rPr>
        <w:t>286556/15</w:t>
      </w:r>
      <w:r>
        <w:rPr>
          <w:rFonts w:ascii="Arial" w:hAnsi="Arial" w:cs="Arial"/>
          <w:bCs/>
          <w:sz w:val="24"/>
          <w:szCs w:val="24"/>
          <w:lang w:val="pt-BR"/>
        </w:rPr>
        <w:t>.</w:t>
      </w:r>
    </w:p>
    <w:p w:rsidR="00F9112E" w:rsidRDefault="00F9112E" w:rsidP="0014758F">
      <w:pPr>
        <w:spacing w:after="0" w:line="360" w:lineRule="auto"/>
        <w:ind w:firstLine="1985"/>
        <w:jc w:val="both"/>
        <w:rPr>
          <w:rFonts w:ascii="Arial" w:hAnsi="Arial" w:cs="Arial"/>
          <w:b/>
          <w:sz w:val="24"/>
          <w:szCs w:val="24"/>
          <w:lang w:val="es-ES"/>
        </w:rPr>
      </w:pPr>
      <w:r w:rsidRPr="004666C0">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666C0">
        <w:rPr>
          <w:rFonts w:ascii="Arial" w:eastAsia="Times New Roman" w:hAnsi="Arial" w:cs="Arial"/>
          <w:sz w:val="24"/>
          <w:szCs w:val="24"/>
          <w:lang w:val="es-ES" w:eastAsia="es-ES"/>
        </w:rPr>
        <w:t>Dres</w:t>
      </w:r>
      <w:proofErr w:type="spellEnd"/>
      <w:r w:rsidRPr="004666C0">
        <w:rPr>
          <w:rFonts w:ascii="Arial" w:eastAsia="Times New Roman" w:hAnsi="Arial" w:cs="Arial"/>
          <w:sz w:val="24"/>
          <w:szCs w:val="24"/>
          <w:lang w:val="es-ES" w:eastAsia="es-ES"/>
        </w:rPr>
        <w:t>. CARLOS ALBERTO COBO, MARTHA RAQUEL CORVALÁN y LILIA ANA NOVILLO.</w:t>
      </w:r>
    </w:p>
    <w:p w:rsidR="009A0D85" w:rsidRPr="009A0D85" w:rsidRDefault="009A0D85" w:rsidP="0014758F">
      <w:pPr>
        <w:pStyle w:val="Textoindependiente"/>
        <w:ind w:firstLine="1985"/>
        <w:rPr>
          <w:rFonts w:cs="Arial"/>
          <w:szCs w:val="24"/>
        </w:rPr>
      </w:pPr>
      <w:r w:rsidRPr="009A0D85">
        <w:rPr>
          <w:rFonts w:cs="Arial"/>
          <w:szCs w:val="24"/>
        </w:rPr>
        <w:t>Las cuestiones formuladas y sometidas a decisión del Tribunal son:</w:t>
      </w:r>
    </w:p>
    <w:p w:rsidR="009A0D85" w:rsidRPr="009A0D85" w:rsidRDefault="009A0D85" w:rsidP="0014758F">
      <w:pPr>
        <w:pStyle w:val="Textoindependiente"/>
        <w:ind w:firstLine="1985"/>
        <w:rPr>
          <w:rFonts w:cs="Arial"/>
          <w:szCs w:val="24"/>
        </w:rPr>
      </w:pPr>
      <w:r w:rsidRPr="009A0D85">
        <w:rPr>
          <w:rFonts w:cs="Arial"/>
          <w:szCs w:val="24"/>
        </w:rPr>
        <w:t>I</w:t>
      </w:r>
      <w:r w:rsidR="00F9112E">
        <w:rPr>
          <w:rFonts w:cs="Arial"/>
          <w:szCs w:val="24"/>
        </w:rPr>
        <w:t>)</w:t>
      </w:r>
      <w:r w:rsidRPr="009A0D85">
        <w:rPr>
          <w:rFonts w:cs="Arial"/>
          <w:szCs w:val="24"/>
        </w:rPr>
        <w:t xml:space="preserve"> ¿Es formalmente procedente el Recurso de Casación?</w:t>
      </w:r>
    </w:p>
    <w:p w:rsidR="009A0D85" w:rsidRPr="009A0D85" w:rsidRDefault="009A0D85" w:rsidP="0014758F">
      <w:pPr>
        <w:pStyle w:val="Textoindependiente"/>
        <w:ind w:firstLine="1985"/>
        <w:rPr>
          <w:rFonts w:cs="Arial"/>
          <w:szCs w:val="24"/>
        </w:rPr>
      </w:pPr>
      <w:r w:rsidRPr="009A0D85">
        <w:rPr>
          <w:rFonts w:cs="Arial"/>
          <w:szCs w:val="24"/>
        </w:rPr>
        <w:t>II</w:t>
      </w:r>
      <w:r w:rsidR="00F9112E">
        <w:rPr>
          <w:rFonts w:cs="Arial"/>
          <w:szCs w:val="24"/>
        </w:rPr>
        <w:t>)</w:t>
      </w:r>
      <w:r w:rsidRPr="009A0D85">
        <w:rPr>
          <w:rFonts w:cs="Arial"/>
          <w:szCs w:val="24"/>
        </w:rPr>
        <w:t xml:space="preserve"> ¿Existe en el fallo recurrido alguna de las causales enumeradas en el art. 287 del Código Procesal Civil?</w:t>
      </w:r>
    </w:p>
    <w:p w:rsidR="009A0D85" w:rsidRPr="009A0D85" w:rsidRDefault="009A0D85" w:rsidP="0014758F">
      <w:pPr>
        <w:pStyle w:val="Textoindependiente"/>
        <w:ind w:firstLine="1985"/>
        <w:rPr>
          <w:rFonts w:cs="Arial"/>
          <w:szCs w:val="24"/>
        </w:rPr>
      </w:pPr>
      <w:r w:rsidRPr="009A0D85">
        <w:rPr>
          <w:rFonts w:cs="Arial"/>
          <w:szCs w:val="24"/>
        </w:rPr>
        <w:t>III</w:t>
      </w:r>
      <w:r w:rsidR="00F9112E">
        <w:rPr>
          <w:rFonts w:cs="Arial"/>
          <w:szCs w:val="24"/>
        </w:rPr>
        <w:t xml:space="preserve">) </w:t>
      </w:r>
      <w:r w:rsidRPr="009A0D85">
        <w:rPr>
          <w:rFonts w:cs="Arial"/>
          <w:szCs w:val="24"/>
        </w:rPr>
        <w:t>En caso afirmativo de la cuestión anterior, ¿Cuál es la ley a aplicarse, la interpretación que debe hacerse del caso en estudio, o la jurisprudencia contradictoria a unificarse?</w:t>
      </w:r>
    </w:p>
    <w:p w:rsidR="009A0D85" w:rsidRPr="009A0D85" w:rsidRDefault="009A0D85" w:rsidP="0014758F">
      <w:pPr>
        <w:pStyle w:val="Textoindependiente"/>
        <w:ind w:firstLine="1985"/>
        <w:rPr>
          <w:rFonts w:cs="Arial"/>
          <w:szCs w:val="24"/>
        </w:rPr>
      </w:pPr>
      <w:r w:rsidRPr="009A0D85">
        <w:rPr>
          <w:rFonts w:cs="Arial"/>
          <w:szCs w:val="24"/>
        </w:rPr>
        <w:t>IV</w:t>
      </w:r>
      <w:r w:rsidR="00F9112E">
        <w:rPr>
          <w:rFonts w:cs="Arial"/>
          <w:szCs w:val="24"/>
        </w:rPr>
        <w:t>)</w:t>
      </w:r>
      <w:r w:rsidRPr="009A0D85">
        <w:rPr>
          <w:rFonts w:cs="Arial"/>
          <w:szCs w:val="24"/>
        </w:rPr>
        <w:t xml:space="preserve"> ¿Qué resolución corresponde dar al caso en estudio?</w:t>
      </w:r>
    </w:p>
    <w:p w:rsidR="009A0D85" w:rsidRPr="009A0D85" w:rsidRDefault="009A0D85" w:rsidP="0014758F">
      <w:pPr>
        <w:pStyle w:val="Textoindependiente"/>
        <w:ind w:firstLine="1985"/>
        <w:rPr>
          <w:rFonts w:cs="Arial"/>
          <w:szCs w:val="24"/>
        </w:rPr>
      </w:pPr>
      <w:r w:rsidRPr="009A0D85">
        <w:rPr>
          <w:rFonts w:cs="Arial"/>
          <w:szCs w:val="24"/>
        </w:rPr>
        <w:t>V</w:t>
      </w:r>
      <w:r w:rsidR="00F9112E">
        <w:rPr>
          <w:rFonts w:cs="Arial"/>
          <w:szCs w:val="24"/>
        </w:rPr>
        <w:t>)</w:t>
      </w:r>
      <w:r w:rsidRPr="009A0D85">
        <w:rPr>
          <w:rFonts w:cs="Arial"/>
          <w:szCs w:val="24"/>
        </w:rPr>
        <w:t xml:space="preserve"> ¿Cuál sobre las costas?</w:t>
      </w:r>
    </w:p>
    <w:p w:rsidR="009A0D85" w:rsidRPr="009A0D85" w:rsidRDefault="009A0D85" w:rsidP="0014758F">
      <w:pPr>
        <w:pStyle w:val="Textoindependiente"/>
        <w:ind w:firstLine="1985"/>
        <w:rPr>
          <w:rFonts w:cs="Arial"/>
          <w:szCs w:val="24"/>
        </w:rPr>
      </w:pPr>
    </w:p>
    <w:p w:rsidR="009A0D85" w:rsidRPr="00A04982" w:rsidRDefault="009A0D85" w:rsidP="0014758F">
      <w:pPr>
        <w:spacing w:after="0" w:line="360" w:lineRule="auto"/>
        <w:jc w:val="both"/>
        <w:rPr>
          <w:rFonts w:ascii="Arial" w:hAnsi="Arial" w:cs="Arial"/>
          <w:sz w:val="24"/>
          <w:szCs w:val="24"/>
        </w:rPr>
      </w:pPr>
      <w:r w:rsidRPr="009A0D85">
        <w:rPr>
          <w:rFonts w:ascii="Arial" w:hAnsi="Arial" w:cs="Arial"/>
          <w:b/>
          <w:bCs/>
          <w:sz w:val="24"/>
          <w:szCs w:val="24"/>
          <w:u w:val="single"/>
        </w:rPr>
        <w:t xml:space="preserve">A LA PRIMERA </w:t>
      </w:r>
      <w:r w:rsidR="00914293" w:rsidRPr="006730F2">
        <w:rPr>
          <w:rFonts w:ascii="Arial" w:eastAsia="Calibri" w:hAnsi="Arial" w:cs="Arial"/>
          <w:b/>
          <w:bCs/>
          <w:sz w:val="24"/>
          <w:szCs w:val="24"/>
          <w:u w:val="single"/>
          <w:lang w:val="es-ES"/>
        </w:rPr>
        <w:t>CUESTIÓN, el Dr. CARLOS ALBERTO COBO, dijo</w:t>
      </w:r>
      <w:r w:rsidR="00914293" w:rsidRPr="006730F2">
        <w:rPr>
          <w:rFonts w:ascii="Arial" w:eastAsia="Calibri" w:hAnsi="Arial" w:cs="Arial"/>
          <w:b/>
          <w:bCs/>
          <w:sz w:val="24"/>
          <w:szCs w:val="24"/>
          <w:lang w:val="es-ES"/>
        </w:rPr>
        <w:t>:</w:t>
      </w:r>
      <w:r w:rsidRPr="009A0D85">
        <w:rPr>
          <w:rFonts w:ascii="Arial" w:hAnsi="Arial" w:cs="Arial"/>
          <w:bCs/>
          <w:sz w:val="24"/>
          <w:szCs w:val="24"/>
        </w:rPr>
        <w:t xml:space="preserve"> 1) </w:t>
      </w:r>
      <w:r w:rsidR="00914293">
        <w:rPr>
          <w:rFonts w:ascii="Arial" w:hAnsi="Arial" w:cs="Arial"/>
          <w:sz w:val="24"/>
          <w:szCs w:val="24"/>
        </w:rPr>
        <w:t>Que en ESCEXT Nº</w:t>
      </w:r>
      <w:r w:rsidRPr="009A0D85">
        <w:rPr>
          <w:rFonts w:ascii="Arial" w:hAnsi="Arial" w:cs="Arial"/>
          <w:sz w:val="24"/>
          <w:szCs w:val="24"/>
        </w:rPr>
        <w:t xml:space="preserve"> </w:t>
      </w:r>
      <w:r w:rsidR="00914293" w:rsidRPr="009A0D85">
        <w:rPr>
          <w:rFonts w:ascii="Arial" w:hAnsi="Arial" w:cs="Arial"/>
          <w:sz w:val="24"/>
          <w:szCs w:val="24"/>
        </w:rPr>
        <w:t>9880988</w:t>
      </w:r>
      <w:r w:rsidR="00914293">
        <w:rPr>
          <w:rFonts w:ascii="Arial" w:hAnsi="Arial" w:cs="Arial"/>
          <w:sz w:val="24"/>
          <w:szCs w:val="24"/>
        </w:rPr>
        <w:t xml:space="preserve">, </w:t>
      </w:r>
      <w:r w:rsidRPr="009A0D85">
        <w:rPr>
          <w:rFonts w:ascii="Arial" w:hAnsi="Arial" w:cs="Arial"/>
          <w:sz w:val="24"/>
          <w:szCs w:val="24"/>
        </w:rPr>
        <w:t>de fecha 28/08/2018</w:t>
      </w:r>
      <w:r w:rsidR="00914293">
        <w:rPr>
          <w:rFonts w:ascii="Arial" w:hAnsi="Arial" w:cs="Arial"/>
          <w:sz w:val="24"/>
          <w:szCs w:val="24"/>
        </w:rPr>
        <w:t>,</w:t>
      </w:r>
      <w:r w:rsidRPr="009A0D85">
        <w:rPr>
          <w:rFonts w:ascii="Arial" w:hAnsi="Arial" w:cs="Arial"/>
          <w:sz w:val="24"/>
          <w:szCs w:val="24"/>
        </w:rPr>
        <w:t xml:space="preserve"> la parte actora interpone recurso de casación en </w:t>
      </w:r>
      <w:r w:rsidRPr="00A04982">
        <w:rPr>
          <w:rFonts w:ascii="Arial" w:hAnsi="Arial" w:cs="Arial"/>
          <w:sz w:val="24"/>
          <w:szCs w:val="24"/>
        </w:rPr>
        <w:t>contra de la Sentencia Definitiva N</w:t>
      </w:r>
      <w:r w:rsidR="00D81B43" w:rsidRPr="00A04982">
        <w:rPr>
          <w:rFonts w:ascii="Arial" w:hAnsi="Arial" w:cs="Arial"/>
          <w:sz w:val="24"/>
          <w:szCs w:val="24"/>
        </w:rPr>
        <w:t>ú</w:t>
      </w:r>
      <w:r w:rsidRPr="00A04982">
        <w:rPr>
          <w:rFonts w:ascii="Arial" w:hAnsi="Arial" w:cs="Arial"/>
          <w:sz w:val="24"/>
          <w:szCs w:val="24"/>
        </w:rPr>
        <w:t>mero Ciento Veintiocho de fecha 21/08/2018</w:t>
      </w:r>
      <w:r w:rsidR="00D81B43" w:rsidRPr="00A04982">
        <w:rPr>
          <w:rFonts w:ascii="Arial" w:hAnsi="Arial" w:cs="Arial"/>
          <w:sz w:val="24"/>
          <w:szCs w:val="24"/>
        </w:rPr>
        <w:t xml:space="preserve"> (actuación Nº 9817428)</w:t>
      </w:r>
      <w:r w:rsidRPr="00A04982">
        <w:rPr>
          <w:rFonts w:ascii="Arial" w:hAnsi="Arial" w:cs="Arial"/>
          <w:sz w:val="24"/>
          <w:szCs w:val="24"/>
        </w:rPr>
        <w:t>.</w:t>
      </w:r>
    </w:p>
    <w:p w:rsidR="009A0D85" w:rsidRPr="00A04982" w:rsidRDefault="009A0D85" w:rsidP="0014758F">
      <w:pPr>
        <w:spacing w:after="0" w:line="360" w:lineRule="auto"/>
        <w:ind w:firstLine="1985"/>
        <w:jc w:val="both"/>
        <w:rPr>
          <w:rFonts w:ascii="Arial" w:hAnsi="Arial" w:cs="Arial"/>
          <w:sz w:val="24"/>
          <w:szCs w:val="24"/>
        </w:rPr>
      </w:pPr>
      <w:r w:rsidRPr="00A04982">
        <w:rPr>
          <w:rFonts w:ascii="Arial" w:hAnsi="Arial" w:cs="Arial"/>
          <w:sz w:val="24"/>
          <w:szCs w:val="24"/>
        </w:rPr>
        <w:t>Que la referida resolución, en lo que aquí interesa destacar, consideró que era aplicable al actor el CCT de la U.T.E.D.Y.C., rechaz</w:t>
      </w:r>
      <w:r w:rsidR="00D81B43" w:rsidRPr="00A04982">
        <w:rPr>
          <w:rFonts w:ascii="Arial" w:hAnsi="Arial" w:cs="Arial"/>
          <w:sz w:val="24"/>
          <w:szCs w:val="24"/>
        </w:rPr>
        <w:t>ó</w:t>
      </w:r>
      <w:r w:rsidRPr="00A04982">
        <w:rPr>
          <w:rFonts w:ascii="Arial" w:hAnsi="Arial" w:cs="Arial"/>
          <w:sz w:val="24"/>
          <w:szCs w:val="24"/>
        </w:rPr>
        <w:t xml:space="preserve"> las d</w:t>
      </w:r>
      <w:r w:rsidR="00D81B43" w:rsidRPr="00A04982">
        <w:rPr>
          <w:rFonts w:ascii="Arial" w:hAnsi="Arial" w:cs="Arial"/>
          <w:sz w:val="24"/>
          <w:szCs w:val="24"/>
        </w:rPr>
        <w:t>iferencias de haberes y modificó</w:t>
      </w:r>
      <w:r w:rsidRPr="00A04982">
        <w:rPr>
          <w:rFonts w:ascii="Arial" w:hAnsi="Arial" w:cs="Arial"/>
          <w:sz w:val="24"/>
          <w:szCs w:val="24"/>
        </w:rPr>
        <w:t xml:space="preserve"> la imposición de costas conforme prosperaron las pretensiones.</w:t>
      </w:r>
    </w:p>
    <w:p w:rsidR="009A0D85" w:rsidRPr="009A0D85" w:rsidRDefault="009A0D85" w:rsidP="0014758F">
      <w:pPr>
        <w:pStyle w:val="Textoindependiente"/>
        <w:ind w:firstLine="1985"/>
        <w:rPr>
          <w:rFonts w:cs="Arial"/>
          <w:szCs w:val="24"/>
          <w:lang w:val="es-AR" w:eastAsia="es-AR"/>
        </w:rPr>
      </w:pPr>
      <w:r w:rsidRPr="009A0D85">
        <w:rPr>
          <w:rFonts w:cs="Arial"/>
          <w:szCs w:val="24"/>
          <w:lang w:val="es-AR" w:eastAsia="es-AR"/>
        </w:rPr>
        <w:lastRenderedPageBreak/>
        <w:t xml:space="preserve">2) Que mediante </w:t>
      </w:r>
      <w:r w:rsidRPr="009A0D85">
        <w:rPr>
          <w:rFonts w:cs="Arial"/>
          <w:szCs w:val="24"/>
        </w:rPr>
        <w:t>ESCEXT</w:t>
      </w:r>
      <w:r w:rsidR="0014758F">
        <w:rPr>
          <w:rFonts w:cs="Arial"/>
          <w:szCs w:val="24"/>
        </w:rPr>
        <w:t xml:space="preserve"> Nº</w:t>
      </w:r>
      <w:r w:rsidRPr="009A0D85">
        <w:rPr>
          <w:rFonts w:cs="Arial"/>
          <w:szCs w:val="24"/>
        </w:rPr>
        <w:t xml:space="preserve"> </w:t>
      </w:r>
      <w:r w:rsidR="0014758F" w:rsidRPr="009A0D85">
        <w:rPr>
          <w:rFonts w:cs="Arial"/>
          <w:szCs w:val="24"/>
        </w:rPr>
        <w:t>9948545</w:t>
      </w:r>
      <w:r w:rsidR="0014758F">
        <w:rPr>
          <w:rFonts w:cs="Arial"/>
          <w:szCs w:val="24"/>
        </w:rPr>
        <w:t xml:space="preserve">, </w:t>
      </w:r>
      <w:r w:rsidRPr="009A0D85">
        <w:rPr>
          <w:rFonts w:cs="Arial"/>
          <w:szCs w:val="24"/>
        </w:rPr>
        <w:t>de fecha 6/09/2018</w:t>
      </w:r>
      <w:r w:rsidR="0014758F">
        <w:rPr>
          <w:rFonts w:cs="Arial"/>
          <w:szCs w:val="24"/>
        </w:rPr>
        <w:t>,</w:t>
      </w:r>
      <w:r w:rsidRPr="009A0D85">
        <w:rPr>
          <w:rFonts w:cs="Arial"/>
          <w:szCs w:val="24"/>
        </w:rPr>
        <w:t xml:space="preserve"> </w:t>
      </w:r>
      <w:r w:rsidRPr="009A0D85">
        <w:rPr>
          <w:rFonts w:cs="Arial"/>
          <w:szCs w:val="24"/>
          <w:lang w:val="es-AR" w:eastAsia="es-AR"/>
        </w:rPr>
        <w:t>se fundamenta el recurso.</w:t>
      </w:r>
    </w:p>
    <w:p w:rsidR="009A0D85" w:rsidRPr="009A0D85" w:rsidRDefault="009A0D85" w:rsidP="0014758F">
      <w:pPr>
        <w:pStyle w:val="Sangradetextonormal"/>
        <w:tabs>
          <w:tab w:val="left" w:pos="1440"/>
        </w:tabs>
        <w:spacing w:after="0" w:line="360" w:lineRule="auto"/>
        <w:ind w:left="0" w:firstLine="1985"/>
        <w:jc w:val="both"/>
        <w:rPr>
          <w:rFonts w:ascii="Arial" w:hAnsi="Arial" w:cs="Arial"/>
          <w:sz w:val="24"/>
          <w:szCs w:val="24"/>
        </w:rPr>
      </w:pPr>
      <w:r w:rsidRPr="009A0D85">
        <w:rPr>
          <w:rFonts w:ascii="Arial" w:hAnsi="Arial" w:cs="Arial"/>
          <w:sz w:val="24"/>
          <w:szCs w:val="24"/>
          <w:lang w:val="es-ES"/>
        </w:rPr>
        <w:t xml:space="preserve">3) </w:t>
      </w:r>
      <w:r w:rsidRPr="009A0D85">
        <w:rPr>
          <w:rFonts w:ascii="Arial" w:hAnsi="Arial" w:cs="Arial"/>
          <w:sz w:val="24"/>
          <w:szCs w:val="24"/>
        </w:rPr>
        <w:t xml:space="preserve">Que pasado el </w:t>
      </w:r>
      <w:r w:rsidR="00D81B43">
        <w:rPr>
          <w:rFonts w:ascii="Arial" w:hAnsi="Arial" w:cs="Arial"/>
          <w:sz w:val="24"/>
          <w:szCs w:val="24"/>
        </w:rPr>
        <w:t>e</w:t>
      </w:r>
      <w:r w:rsidRPr="009A0D85">
        <w:rPr>
          <w:rFonts w:ascii="Arial" w:hAnsi="Arial" w:cs="Arial"/>
          <w:sz w:val="24"/>
          <w:szCs w:val="24"/>
        </w:rPr>
        <w:t>xpediente a dictar sentencia</w:t>
      </w:r>
      <w:r w:rsidRPr="009A0D85">
        <w:rPr>
          <w:rFonts w:ascii="Arial" w:hAnsi="Arial" w:cs="Arial"/>
          <w:sz w:val="24"/>
          <w:szCs w:val="24"/>
          <w:lang w:val="es-ES"/>
        </w:rPr>
        <w:t xml:space="preserve">, corresponde examinar, en primer término, </w:t>
      </w:r>
      <w:r w:rsidRPr="009A0D85">
        <w:rPr>
          <w:rFonts w:ascii="Arial" w:hAnsi="Arial" w:cs="Arial"/>
          <w:sz w:val="24"/>
          <w:szCs w:val="24"/>
        </w:rPr>
        <w:t xml:space="preserve">el cumplimiento </w:t>
      </w:r>
      <w:r w:rsidRPr="009A0D85">
        <w:rPr>
          <w:rFonts w:ascii="Arial" w:hAnsi="Arial" w:cs="Arial"/>
          <w:sz w:val="24"/>
          <w:szCs w:val="24"/>
          <w:lang w:val="es-ES"/>
        </w:rPr>
        <w:t xml:space="preserve">de los recaudos formales impuestos </w:t>
      </w:r>
      <w:r w:rsidRPr="009A0D85">
        <w:rPr>
          <w:rFonts w:ascii="Arial" w:hAnsi="Arial" w:cs="Arial"/>
          <w:sz w:val="24"/>
          <w:szCs w:val="24"/>
        </w:rPr>
        <w:t>por los artículos 286 y siguientes del CPCC para la admisión del recurso.</w:t>
      </w:r>
    </w:p>
    <w:p w:rsidR="009A0D85" w:rsidRPr="009A0D85" w:rsidRDefault="009A0D85" w:rsidP="0014758F">
      <w:pPr>
        <w:tabs>
          <w:tab w:val="left" w:pos="1440"/>
        </w:tabs>
        <w:spacing w:after="0" w:line="360" w:lineRule="auto"/>
        <w:ind w:firstLine="1985"/>
        <w:jc w:val="both"/>
        <w:rPr>
          <w:rFonts w:ascii="Arial" w:hAnsi="Arial" w:cs="Arial"/>
          <w:sz w:val="24"/>
          <w:szCs w:val="24"/>
        </w:rPr>
      </w:pPr>
      <w:r w:rsidRPr="009A0D85">
        <w:rPr>
          <w:rFonts w:ascii="Arial" w:hAnsi="Arial" w:cs="Arial"/>
          <w:sz w:val="24"/>
          <w:szCs w:val="24"/>
        </w:rPr>
        <w:t>En orden a ello, advierto que conforme a las constancias de la causa la sentencia recurrida fue notificada el día 23/08/2018, por lo que, el recurso fue interpuesto y fundado en t</w:t>
      </w:r>
      <w:r w:rsidR="00D81B43">
        <w:rPr>
          <w:rFonts w:ascii="Arial" w:hAnsi="Arial" w:cs="Arial"/>
          <w:sz w:val="24"/>
          <w:szCs w:val="24"/>
        </w:rPr>
        <w:t>é</w:t>
      </w:r>
      <w:r w:rsidRPr="009A0D85">
        <w:rPr>
          <w:rFonts w:ascii="Arial" w:hAnsi="Arial" w:cs="Arial"/>
          <w:sz w:val="24"/>
          <w:szCs w:val="24"/>
        </w:rPr>
        <w:t>rmino.</w:t>
      </w:r>
    </w:p>
    <w:p w:rsidR="009A0D85" w:rsidRPr="009A0D85" w:rsidRDefault="009A0D85" w:rsidP="0014758F">
      <w:pPr>
        <w:tabs>
          <w:tab w:val="left" w:pos="1440"/>
        </w:tabs>
        <w:spacing w:after="0" w:line="360" w:lineRule="auto"/>
        <w:ind w:firstLine="1985"/>
        <w:jc w:val="both"/>
        <w:rPr>
          <w:rFonts w:ascii="Arial" w:hAnsi="Arial" w:cs="Arial"/>
          <w:sz w:val="24"/>
          <w:szCs w:val="24"/>
        </w:rPr>
      </w:pPr>
      <w:r w:rsidRPr="009A0D85">
        <w:rPr>
          <w:rFonts w:ascii="Arial" w:hAnsi="Arial" w:cs="Arial"/>
          <w:sz w:val="24"/>
          <w:szCs w:val="24"/>
        </w:rPr>
        <w:t>De igual modo, se ataca una sentencia definitiva, y el recurrente se encuentra exento del depósito previsto por el art. 290 del CPCC.</w:t>
      </w:r>
    </w:p>
    <w:p w:rsidR="009A0D85" w:rsidRPr="009A0D85" w:rsidRDefault="009A0D85" w:rsidP="0014758F">
      <w:pPr>
        <w:pStyle w:val="Textoindependiente2"/>
        <w:tabs>
          <w:tab w:val="left" w:pos="1440"/>
          <w:tab w:val="left" w:pos="4680"/>
        </w:tabs>
        <w:spacing w:after="0" w:line="360" w:lineRule="auto"/>
        <w:ind w:firstLine="1985"/>
        <w:jc w:val="both"/>
        <w:rPr>
          <w:rFonts w:ascii="Arial" w:hAnsi="Arial" w:cs="Arial"/>
          <w:sz w:val="24"/>
          <w:szCs w:val="24"/>
        </w:rPr>
      </w:pPr>
      <w:r w:rsidRPr="009A0D85">
        <w:rPr>
          <w:rFonts w:ascii="Arial" w:hAnsi="Arial" w:cs="Arial"/>
          <w:sz w:val="24"/>
          <w:szCs w:val="24"/>
        </w:rPr>
        <w:t>En consecuencia, y en mérito a lo dispuesto por el art. 301 inc. a) del CPC y C, el recurso articulado deviene formalmente admisible, y por ello VOTO a esta PRIMERA CUESTIÓN por la AFIRMATIVA</w:t>
      </w:r>
      <w:r w:rsidR="0014758F">
        <w:rPr>
          <w:rFonts w:ascii="Arial" w:hAnsi="Arial" w:cs="Arial"/>
          <w:sz w:val="24"/>
          <w:szCs w:val="24"/>
        </w:rPr>
        <w:t>.</w:t>
      </w:r>
    </w:p>
    <w:p w:rsidR="00865FE5" w:rsidRDefault="00865FE5" w:rsidP="0014758F">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PRIMERA CUESTIÓN.</w:t>
      </w:r>
    </w:p>
    <w:p w:rsidR="009A0D85" w:rsidRPr="009A0D85" w:rsidRDefault="009A0D85" w:rsidP="0014758F">
      <w:pPr>
        <w:pStyle w:val="Textoindependiente2"/>
        <w:tabs>
          <w:tab w:val="left" w:pos="4680"/>
        </w:tabs>
        <w:spacing w:after="0" w:line="360" w:lineRule="auto"/>
        <w:ind w:firstLine="1985"/>
        <w:jc w:val="both"/>
        <w:rPr>
          <w:rFonts w:ascii="Arial" w:hAnsi="Arial" w:cs="Arial"/>
          <w:b/>
          <w:sz w:val="24"/>
          <w:szCs w:val="24"/>
          <w:u w:val="single"/>
        </w:rPr>
      </w:pPr>
    </w:p>
    <w:p w:rsidR="009A0D85" w:rsidRPr="009A0D85" w:rsidRDefault="009A0D85" w:rsidP="0014758F">
      <w:pPr>
        <w:spacing w:after="0" w:line="360" w:lineRule="auto"/>
        <w:jc w:val="both"/>
        <w:rPr>
          <w:rFonts w:ascii="Arial" w:hAnsi="Arial" w:cs="Arial"/>
          <w:sz w:val="24"/>
          <w:szCs w:val="24"/>
        </w:rPr>
      </w:pPr>
      <w:r w:rsidRPr="009A0D85">
        <w:rPr>
          <w:rFonts w:ascii="Arial" w:hAnsi="Arial" w:cs="Arial"/>
          <w:b/>
          <w:sz w:val="24"/>
          <w:szCs w:val="24"/>
          <w:u w:val="single"/>
        </w:rPr>
        <w:t xml:space="preserve">A LA SEGUNDA </w:t>
      </w:r>
      <w:r w:rsidR="00914293">
        <w:rPr>
          <w:rFonts w:ascii="Arial" w:hAnsi="Arial" w:cs="Arial"/>
          <w:b/>
          <w:sz w:val="24"/>
          <w:szCs w:val="24"/>
          <w:u w:val="single"/>
        </w:rPr>
        <w:t>y</w:t>
      </w:r>
      <w:r w:rsidRPr="009A0D85">
        <w:rPr>
          <w:rFonts w:ascii="Arial" w:hAnsi="Arial" w:cs="Arial"/>
          <w:b/>
          <w:sz w:val="24"/>
          <w:szCs w:val="24"/>
          <w:u w:val="single"/>
        </w:rPr>
        <w:t xml:space="preserve"> TERCERA </w:t>
      </w:r>
      <w:r w:rsidR="00914293" w:rsidRPr="006730F2">
        <w:rPr>
          <w:rFonts w:ascii="Arial" w:eastAsia="Calibri" w:hAnsi="Arial" w:cs="Arial"/>
          <w:b/>
          <w:bCs/>
          <w:sz w:val="24"/>
          <w:szCs w:val="24"/>
          <w:u w:val="single"/>
          <w:lang w:val="es-ES"/>
        </w:rPr>
        <w:t>CUESTIÓN, el Dr. CARLOS ALBERTO COBO, dijo</w:t>
      </w:r>
      <w:r w:rsidR="00914293" w:rsidRPr="006730F2">
        <w:rPr>
          <w:rFonts w:ascii="Arial" w:eastAsia="Calibri" w:hAnsi="Arial" w:cs="Arial"/>
          <w:b/>
          <w:bCs/>
          <w:sz w:val="24"/>
          <w:szCs w:val="24"/>
          <w:lang w:val="es-ES"/>
        </w:rPr>
        <w:t>:</w:t>
      </w:r>
      <w:r w:rsidR="00914293" w:rsidRPr="006730F2">
        <w:rPr>
          <w:rFonts w:ascii="Arial" w:eastAsia="Calibri" w:hAnsi="Arial" w:cs="Arial"/>
          <w:bCs/>
          <w:sz w:val="24"/>
          <w:szCs w:val="24"/>
          <w:lang w:val="es-ES"/>
        </w:rPr>
        <w:t xml:space="preserve"> </w:t>
      </w:r>
      <w:r w:rsidRPr="009A0D85">
        <w:rPr>
          <w:rFonts w:ascii="Arial" w:hAnsi="Arial" w:cs="Arial"/>
          <w:bCs/>
          <w:sz w:val="24"/>
          <w:szCs w:val="24"/>
        </w:rPr>
        <w:t xml:space="preserve">1) </w:t>
      </w:r>
      <w:r w:rsidRPr="009A0D85">
        <w:rPr>
          <w:rFonts w:ascii="Arial" w:hAnsi="Arial" w:cs="Arial"/>
          <w:sz w:val="24"/>
          <w:szCs w:val="24"/>
        </w:rPr>
        <w:t>Que en la fundamentación del recurso el actor invoc</w:t>
      </w:r>
      <w:r w:rsidR="00D81B43">
        <w:rPr>
          <w:rFonts w:ascii="Arial" w:hAnsi="Arial" w:cs="Arial"/>
          <w:sz w:val="24"/>
          <w:szCs w:val="24"/>
        </w:rPr>
        <w:t>ó</w:t>
      </w:r>
      <w:r w:rsidRPr="009A0D85">
        <w:rPr>
          <w:rFonts w:ascii="Arial" w:hAnsi="Arial" w:cs="Arial"/>
          <w:sz w:val="24"/>
          <w:szCs w:val="24"/>
        </w:rPr>
        <w:t xml:space="preserve"> los </w:t>
      </w:r>
      <w:proofErr w:type="spellStart"/>
      <w:r w:rsidRPr="009A0D85">
        <w:rPr>
          <w:rFonts w:ascii="Arial" w:hAnsi="Arial" w:cs="Arial"/>
          <w:sz w:val="24"/>
          <w:szCs w:val="24"/>
        </w:rPr>
        <w:t>incs</w:t>
      </w:r>
      <w:proofErr w:type="spellEnd"/>
      <w:r w:rsidRPr="009A0D85">
        <w:rPr>
          <w:rFonts w:ascii="Arial" w:hAnsi="Arial" w:cs="Arial"/>
          <w:sz w:val="24"/>
          <w:szCs w:val="24"/>
        </w:rPr>
        <w:t xml:space="preserve">. </w:t>
      </w:r>
      <w:proofErr w:type="gramStart"/>
      <w:r w:rsidRPr="009A0D85">
        <w:rPr>
          <w:rFonts w:ascii="Arial" w:hAnsi="Arial" w:cs="Arial"/>
          <w:sz w:val="24"/>
          <w:szCs w:val="24"/>
        </w:rPr>
        <w:t>a</w:t>
      </w:r>
      <w:proofErr w:type="gramEnd"/>
      <w:r w:rsidRPr="009A0D85">
        <w:rPr>
          <w:rFonts w:ascii="Arial" w:hAnsi="Arial" w:cs="Arial"/>
          <w:sz w:val="24"/>
          <w:szCs w:val="24"/>
        </w:rPr>
        <w:t xml:space="preserve"> y b del art. 287 CPC</w:t>
      </w:r>
      <w:r w:rsidR="00D81B43">
        <w:rPr>
          <w:rFonts w:ascii="Arial" w:hAnsi="Arial" w:cs="Arial"/>
          <w:sz w:val="24"/>
          <w:szCs w:val="24"/>
        </w:rPr>
        <w:t xml:space="preserve"> y </w:t>
      </w:r>
      <w:r w:rsidRPr="009A0D85">
        <w:rPr>
          <w:rFonts w:ascii="Arial" w:hAnsi="Arial" w:cs="Arial"/>
          <w:sz w:val="24"/>
          <w:szCs w:val="24"/>
        </w:rPr>
        <w:t>C.</w:t>
      </w:r>
    </w:p>
    <w:p w:rsidR="009A0D85" w:rsidRPr="009A0D85" w:rsidRDefault="009A0D85" w:rsidP="0014758F">
      <w:pPr>
        <w:spacing w:after="0" w:line="360" w:lineRule="auto"/>
        <w:ind w:firstLine="1985"/>
        <w:jc w:val="both"/>
        <w:rPr>
          <w:rFonts w:ascii="Arial" w:hAnsi="Arial" w:cs="Arial"/>
          <w:sz w:val="24"/>
          <w:szCs w:val="24"/>
        </w:rPr>
      </w:pPr>
      <w:r w:rsidRPr="009A0D85">
        <w:rPr>
          <w:rFonts w:ascii="Arial" w:hAnsi="Arial" w:cs="Arial"/>
          <w:sz w:val="24"/>
          <w:szCs w:val="24"/>
        </w:rPr>
        <w:t xml:space="preserve">Refirió, como primer fundamento, la “APLICACIÓN DE UNA LEY (CONVENIO COLECTIVO) QUE NO CORRESPONDE, CONSECUENTEMENTE SE DEJÓ DE APLICAR LA QUE CORRESPONDÍA (ART. 287 INC. </w:t>
      </w:r>
      <w:proofErr w:type="gramStart"/>
      <w:r w:rsidRPr="009A0D85">
        <w:rPr>
          <w:rFonts w:ascii="Arial" w:hAnsi="Arial" w:cs="Arial"/>
          <w:sz w:val="24"/>
          <w:szCs w:val="24"/>
        </w:rPr>
        <w:t>a</w:t>
      </w:r>
      <w:proofErr w:type="gramEnd"/>
      <w:r w:rsidRPr="009A0D85">
        <w:rPr>
          <w:rFonts w:ascii="Arial" w:hAnsi="Arial" w:cs="Arial"/>
          <w:sz w:val="24"/>
          <w:szCs w:val="24"/>
        </w:rPr>
        <w:t xml:space="preserve"> CPCC)”, y explicó que </w:t>
      </w:r>
      <w:r w:rsidR="00D81B43">
        <w:rPr>
          <w:rFonts w:ascii="Arial" w:hAnsi="Arial" w:cs="Arial"/>
          <w:sz w:val="24"/>
          <w:szCs w:val="24"/>
        </w:rPr>
        <w:t>l</w:t>
      </w:r>
      <w:r w:rsidRPr="009A0D85">
        <w:rPr>
          <w:rFonts w:ascii="Arial" w:hAnsi="Arial" w:cs="Arial"/>
          <w:sz w:val="24"/>
          <w:szCs w:val="24"/>
        </w:rPr>
        <w:t xml:space="preserve">a </w:t>
      </w:r>
      <w:proofErr w:type="spellStart"/>
      <w:r w:rsidRPr="009A0D85">
        <w:rPr>
          <w:rFonts w:ascii="Arial" w:hAnsi="Arial" w:cs="Arial"/>
          <w:sz w:val="24"/>
          <w:szCs w:val="24"/>
        </w:rPr>
        <w:t>Exma</w:t>
      </w:r>
      <w:proofErr w:type="spellEnd"/>
      <w:r w:rsidRPr="009A0D85">
        <w:rPr>
          <w:rFonts w:ascii="Arial" w:hAnsi="Arial" w:cs="Arial"/>
          <w:sz w:val="24"/>
          <w:szCs w:val="24"/>
        </w:rPr>
        <w:t>. Cámara de Apelaciones sin más, sin ser objeto del contradictorio, y sin mediar explicación o fundamento alguno, resolvió aplicar al vínculo laboral del trabajador con la U.O.M. el convenio de la U.T.E.D.Y.C. (UNIÓN TRABAJADORES DE ENTIDADES DEPORTIVAS Y CIVILES –UTEDYC-), generando una arbitraria e injusta situación.</w:t>
      </w:r>
    </w:p>
    <w:p w:rsidR="009A0D85" w:rsidRPr="009A0D85" w:rsidRDefault="009A0D85" w:rsidP="0014758F">
      <w:pPr>
        <w:spacing w:after="0" w:line="360" w:lineRule="auto"/>
        <w:ind w:firstLine="1985"/>
        <w:jc w:val="both"/>
        <w:rPr>
          <w:rFonts w:ascii="Arial" w:hAnsi="Arial" w:cs="Arial"/>
          <w:sz w:val="24"/>
          <w:szCs w:val="24"/>
        </w:rPr>
      </w:pPr>
      <w:r w:rsidRPr="009A0D85">
        <w:rPr>
          <w:rFonts w:ascii="Arial" w:hAnsi="Arial" w:cs="Arial"/>
          <w:sz w:val="24"/>
          <w:szCs w:val="24"/>
        </w:rPr>
        <w:lastRenderedPageBreak/>
        <w:t>Como segundo fundamento señaló “LA FALTA DE APLICACIÓN DEL C.C.T. DENUNCIADO”, y aseveró que el Convenio Colectivo que debe aplicarse es ADMINISTRATIVO CATEGORIA 4° CCT 260/75. Rama EMPLEADOS, y que para ello bastaba observar la totalidad de la prueba aportada por el actor que acreditó que las tareas desempeñadas estaban comprendidas en la categoría profesional “Administrativo 4° Categoría del CCT 260/75”.</w:t>
      </w:r>
    </w:p>
    <w:p w:rsidR="009A0D85" w:rsidRPr="009A0D85" w:rsidRDefault="009A0D85" w:rsidP="0014758F">
      <w:pPr>
        <w:spacing w:after="0" w:line="360" w:lineRule="auto"/>
        <w:ind w:firstLine="1985"/>
        <w:jc w:val="both"/>
        <w:rPr>
          <w:rFonts w:ascii="Arial" w:hAnsi="Arial" w:cs="Arial"/>
          <w:sz w:val="24"/>
          <w:szCs w:val="24"/>
        </w:rPr>
      </w:pPr>
      <w:r w:rsidRPr="009A0D85">
        <w:rPr>
          <w:rFonts w:ascii="Arial" w:hAnsi="Arial" w:cs="Arial"/>
          <w:sz w:val="24"/>
          <w:szCs w:val="24"/>
        </w:rPr>
        <w:t>Añadió, la “ERR</w:t>
      </w:r>
      <w:r w:rsidR="00D81B43">
        <w:rPr>
          <w:rFonts w:ascii="Arial" w:hAnsi="Arial" w:cs="Arial"/>
          <w:sz w:val="24"/>
          <w:szCs w:val="24"/>
        </w:rPr>
        <w:t>Ó</w:t>
      </w:r>
      <w:r w:rsidRPr="009A0D85">
        <w:rPr>
          <w:rFonts w:ascii="Arial" w:hAnsi="Arial" w:cs="Arial"/>
          <w:sz w:val="24"/>
          <w:szCs w:val="24"/>
        </w:rPr>
        <w:t>N</w:t>
      </w:r>
      <w:r w:rsidR="0014758F">
        <w:rPr>
          <w:rFonts w:ascii="Arial" w:hAnsi="Arial" w:cs="Arial"/>
          <w:sz w:val="24"/>
          <w:szCs w:val="24"/>
        </w:rPr>
        <w:t>EA INTERPRETACI</w:t>
      </w:r>
      <w:r w:rsidR="004432D0">
        <w:rPr>
          <w:rFonts w:ascii="Arial" w:hAnsi="Arial" w:cs="Arial"/>
          <w:sz w:val="24"/>
          <w:szCs w:val="24"/>
        </w:rPr>
        <w:t>Ó</w:t>
      </w:r>
      <w:r w:rsidR="0014758F">
        <w:rPr>
          <w:rFonts w:ascii="Arial" w:hAnsi="Arial" w:cs="Arial"/>
          <w:sz w:val="24"/>
          <w:szCs w:val="24"/>
        </w:rPr>
        <w:t xml:space="preserve">N DEL RECLAMO: </w:t>
      </w:r>
      <w:r w:rsidRPr="009A0D85">
        <w:rPr>
          <w:rFonts w:ascii="Arial" w:hAnsi="Arial" w:cs="Arial"/>
          <w:sz w:val="24"/>
          <w:szCs w:val="24"/>
        </w:rPr>
        <w:t>DIFERENCIAS HABERES</w:t>
      </w:r>
      <w:r w:rsidR="0014758F">
        <w:rPr>
          <w:rFonts w:ascii="Arial" w:hAnsi="Arial" w:cs="Arial"/>
          <w:sz w:val="24"/>
          <w:szCs w:val="24"/>
        </w:rPr>
        <w:t xml:space="preserve"> - CONTRADICCIÓ</w:t>
      </w:r>
      <w:r w:rsidRPr="009A0D85">
        <w:rPr>
          <w:rFonts w:ascii="Arial" w:hAnsi="Arial" w:cs="Arial"/>
          <w:sz w:val="24"/>
          <w:szCs w:val="24"/>
        </w:rPr>
        <w:t>N DE LA SENTENCIA. ART. 14, 21 Y 103 LCT”, indicando que en autos quedó demostrado que, sin perjuicio de lo que el actor deba percibir por Convenio de aplicación al caso, se le estaba pagando mal o deficientemente por lo que hubo diferencias salariales devengadas a su favor que surgen de la pericia contable.</w:t>
      </w:r>
    </w:p>
    <w:p w:rsidR="009A0D85" w:rsidRPr="009A0D85" w:rsidRDefault="00EE63D5" w:rsidP="0014758F">
      <w:pPr>
        <w:spacing w:after="0" w:line="360" w:lineRule="auto"/>
        <w:ind w:firstLine="1985"/>
        <w:jc w:val="both"/>
        <w:rPr>
          <w:rFonts w:ascii="Arial" w:hAnsi="Arial" w:cs="Arial"/>
          <w:sz w:val="24"/>
          <w:szCs w:val="24"/>
        </w:rPr>
      </w:pPr>
      <w:r>
        <w:rPr>
          <w:rFonts w:ascii="Arial" w:hAnsi="Arial" w:cs="Arial"/>
          <w:sz w:val="24"/>
          <w:szCs w:val="24"/>
        </w:rPr>
        <w:t>Por último, adujo la “ERRÓ</w:t>
      </w:r>
      <w:r w:rsidR="009A0D85" w:rsidRPr="009A0D85">
        <w:rPr>
          <w:rFonts w:ascii="Arial" w:hAnsi="Arial" w:cs="Arial"/>
          <w:sz w:val="24"/>
          <w:szCs w:val="24"/>
        </w:rPr>
        <w:t>NEA INTERPRETACI</w:t>
      </w:r>
      <w:r>
        <w:rPr>
          <w:rFonts w:ascii="Arial" w:hAnsi="Arial" w:cs="Arial"/>
          <w:sz w:val="24"/>
          <w:szCs w:val="24"/>
        </w:rPr>
        <w:t>Ó</w:t>
      </w:r>
      <w:r w:rsidR="009A0D85" w:rsidRPr="009A0D85">
        <w:rPr>
          <w:rFonts w:ascii="Arial" w:hAnsi="Arial" w:cs="Arial"/>
          <w:sz w:val="24"/>
          <w:szCs w:val="24"/>
        </w:rPr>
        <w:t xml:space="preserve">N DEL CPL ART. 111 </w:t>
      </w:r>
      <w:r>
        <w:rPr>
          <w:rFonts w:ascii="Arial" w:hAnsi="Arial" w:cs="Arial"/>
          <w:sz w:val="24"/>
          <w:szCs w:val="24"/>
        </w:rPr>
        <w:t>y</w:t>
      </w:r>
      <w:r w:rsidR="009A0D85" w:rsidRPr="009A0D85">
        <w:rPr>
          <w:rFonts w:ascii="Arial" w:hAnsi="Arial" w:cs="Arial"/>
          <w:sz w:val="24"/>
          <w:szCs w:val="24"/>
        </w:rPr>
        <w:t xml:space="preserve"> ART. 279 CPC, y señal</w:t>
      </w:r>
      <w:r>
        <w:rPr>
          <w:rFonts w:ascii="Arial" w:hAnsi="Arial" w:cs="Arial"/>
          <w:sz w:val="24"/>
          <w:szCs w:val="24"/>
        </w:rPr>
        <w:t>ó</w:t>
      </w:r>
      <w:r w:rsidR="009A0D85" w:rsidRPr="009A0D85">
        <w:rPr>
          <w:rFonts w:ascii="Arial" w:hAnsi="Arial" w:cs="Arial"/>
          <w:sz w:val="24"/>
          <w:szCs w:val="24"/>
        </w:rPr>
        <w:t xml:space="preserve"> que no hubo vencimiento reciproco de las partes sino que el éxito de su parte ha sido total y en razón de esto, pide que las costas se apliquen a la vencida.</w:t>
      </w:r>
    </w:p>
    <w:p w:rsidR="009A0D85" w:rsidRPr="009A0D85" w:rsidRDefault="009A0D85" w:rsidP="0014758F">
      <w:pPr>
        <w:spacing w:after="0" w:line="360" w:lineRule="auto"/>
        <w:ind w:firstLine="1985"/>
        <w:jc w:val="both"/>
        <w:rPr>
          <w:rFonts w:ascii="Arial" w:hAnsi="Arial" w:cs="Arial"/>
          <w:sz w:val="24"/>
          <w:szCs w:val="24"/>
        </w:rPr>
      </w:pPr>
      <w:r w:rsidRPr="009A0D85">
        <w:rPr>
          <w:rFonts w:ascii="Arial" w:hAnsi="Arial" w:cs="Arial"/>
          <w:sz w:val="24"/>
          <w:szCs w:val="24"/>
        </w:rPr>
        <w:t xml:space="preserve">2) </w:t>
      </w:r>
      <w:r w:rsidR="00781645">
        <w:rPr>
          <w:rFonts w:ascii="Arial" w:hAnsi="Arial" w:cs="Arial"/>
          <w:sz w:val="24"/>
          <w:szCs w:val="24"/>
        </w:rPr>
        <w:t>Que en ESC</w:t>
      </w:r>
      <w:r w:rsidRPr="009A0D85">
        <w:rPr>
          <w:rFonts w:ascii="Arial" w:hAnsi="Arial" w:cs="Arial"/>
          <w:sz w:val="24"/>
          <w:szCs w:val="24"/>
        </w:rPr>
        <w:t>EXT</w:t>
      </w:r>
      <w:r w:rsidR="00781645">
        <w:rPr>
          <w:rFonts w:ascii="Arial" w:hAnsi="Arial" w:cs="Arial"/>
          <w:sz w:val="24"/>
          <w:szCs w:val="24"/>
        </w:rPr>
        <w:t xml:space="preserve"> Nº </w:t>
      </w:r>
      <w:r w:rsidR="00781645" w:rsidRPr="009A0D85">
        <w:rPr>
          <w:rFonts w:ascii="Arial" w:hAnsi="Arial" w:cs="Arial"/>
          <w:sz w:val="24"/>
          <w:szCs w:val="24"/>
        </w:rPr>
        <w:t>10098452</w:t>
      </w:r>
      <w:r w:rsidR="00781645">
        <w:rPr>
          <w:rFonts w:ascii="Arial" w:hAnsi="Arial" w:cs="Arial"/>
          <w:sz w:val="24"/>
          <w:szCs w:val="24"/>
        </w:rPr>
        <w:t xml:space="preserve">, </w:t>
      </w:r>
      <w:r w:rsidRPr="009A0D85">
        <w:rPr>
          <w:rFonts w:ascii="Arial" w:hAnsi="Arial" w:cs="Arial"/>
          <w:sz w:val="24"/>
          <w:szCs w:val="24"/>
        </w:rPr>
        <w:t>de fecha 25/09/2018, la contraria contestó el recurso de casación y rebatió los argumentos de su contraria afirmando que el CCT de trabajo que aplicó el a</w:t>
      </w:r>
      <w:r w:rsidR="00EE63D5">
        <w:rPr>
          <w:rFonts w:ascii="Arial" w:hAnsi="Arial" w:cs="Arial"/>
          <w:sz w:val="24"/>
          <w:szCs w:val="24"/>
        </w:rPr>
        <w:t>-</w:t>
      </w:r>
      <w:r w:rsidRPr="009A0D85">
        <w:rPr>
          <w:rFonts w:ascii="Arial" w:hAnsi="Arial" w:cs="Arial"/>
          <w:sz w:val="24"/>
          <w:szCs w:val="24"/>
        </w:rPr>
        <w:t>quo es el que corresponde, que tal cuestión fue controvertida por su parte al contestar demanda y expresar agravios en apelación, que el actor reconoció no haber realizado actividad metalúrgica alguna por lo que no puede procurar la aplicación del tal convenio y, finalmente, respecto a las diferencias salariales, señaló que el actor pretende cambiar e</w:t>
      </w:r>
      <w:r w:rsidR="00A04982">
        <w:rPr>
          <w:rFonts w:ascii="Arial" w:hAnsi="Arial" w:cs="Arial"/>
          <w:sz w:val="24"/>
          <w:szCs w:val="24"/>
        </w:rPr>
        <w:t>l sentido de los antecedentes fá</w:t>
      </w:r>
      <w:r w:rsidRPr="009A0D85">
        <w:rPr>
          <w:rFonts w:ascii="Arial" w:hAnsi="Arial" w:cs="Arial"/>
          <w:sz w:val="24"/>
          <w:szCs w:val="24"/>
        </w:rPr>
        <w:t>cticos de la situación laboral en tanto que el a</w:t>
      </w:r>
      <w:r w:rsidR="00EE63D5">
        <w:rPr>
          <w:rFonts w:ascii="Arial" w:hAnsi="Arial" w:cs="Arial"/>
          <w:sz w:val="24"/>
          <w:szCs w:val="24"/>
        </w:rPr>
        <w:t>-</w:t>
      </w:r>
      <w:r w:rsidRPr="009A0D85">
        <w:rPr>
          <w:rFonts w:ascii="Arial" w:hAnsi="Arial" w:cs="Arial"/>
          <w:sz w:val="24"/>
          <w:szCs w:val="24"/>
        </w:rPr>
        <w:t>quo sostuvo que no correspondía la diferencia “por no estar denunciadas fehacientemente las tareas realizadas que correspondieran a una categoría laboral como sostiene”. En igual sentido, controvirtió la pretensión de modificar las costas.</w:t>
      </w:r>
    </w:p>
    <w:p w:rsidR="009A0D85" w:rsidRPr="009A0D85" w:rsidRDefault="009A0D85" w:rsidP="0014758F">
      <w:pPr>
        <w:autoSpaceDE w:val="0"/>
        <w:autoSpaceDN w:val="0"/>
        <w:adjustRightInd w:val="0"/>
        <w:spacing w:after="0" w:line="360" w:lineRule="auto"/>
        <w:ind w:firstLine="1985"/>
        <w:jc w:val="both"/>
        <w:rPr>
          <w:rFonts w:ascii="Arial" w:hAnsi="Arial" w:cs="Arial"/>
          <w:sz w:val="24"/>
          <w:szCs w:val="24"/>
        </w:rPr>
      </w:pPr>
      <w:r w:rsidRPr="009A0D85">
        <w:rPr>
          <w:rFonts w:ascii="Arial" w:hAnsi="Arial" w:cs="Arial"/>
          <w:sz w:val="24"/>
          <w:szCs w:val="24"/>
          <w:lang w:val="es-ES"/>
        </w:rPr>
        <w:lastRenderedPageBreak/>
        <w:t xml:space="preserve">3) </w:t>
      </w:r>
      <w:r w:rsidRPr="009A0D85">
        <w:rPr>
          <w:rFonts w:ascii="Arial" w:hAnsi="Arial" w:cs="Arial"/>
          <w:sz w:val="24"/>
          <w:szCs w:val="24"/>
        </w:rPr>
        <w:t xml:space="preserve">Que </w:t>
      </w:r>
      <w:r w:rsidRPr="00A04982">
        <w:rPr>
          <w:rFonts w:ascii="Arial" w:hAnsi="Arial" w:cs="Arial"/>
          <w:sz w:val="24"/>
          <w:szCs w:val="24"/>
        </w:rPr>
        <w:t>el Sr. Procurador General contestó vista en actuación Nº 11435779, de fecha 2</w:t>
      </w:r>
      <w:r w:rsidR="00EE63D5" w:rsidRPr="00A04982">
        <w:rPr>
          <w:rFonts w:ascii="Arial" w:hAnsi="Arial" w:cs="Arial"/>
          <w:sz w:val="24"/>
          <w:szCs w:val="24"/>
        </w:rPr>
        <w:t>5</w:t>
      </w:r>
      <w:r w:rsidRPr="00A04982">
        <w:rPr>
          <w:rFonts w:ascii="Arial" w:hAnsi="Arial" w:cs="Arial"/>
          <w:sz w:val="24"/>
          <w:szCs w:val="24"/>
        </w:rPr>
        <w:t>/04/2019</w:t>
      </w:r>
      <w:r>
        <w:rPr>
          <w:rFonts w:ascii="Arial" w:hAnsi="Arial" w:cs="Arial"/>
          <w:sz w:val="24"/>
          <w:szCs w:val="24"/>
        </w:rPr>
        <w:t>,</w:t>
      </w:r>
      <w:r w:rsidRPr="009A0D85">
        <w:rPr>
          <w:rFonts w:ascii="Arial" w:hAnsi="Arial" w:cs="Arial"/>
          <w:sz w:val="24"/>
          <w:szCs w:val="24"/>
        </w:rPr>
        <w:t xml:space="preserve"> pronunciándose por la improcedencia del recurso.</w:t>
      </w:r>
    </w:p>
    <w:p w:rsidR="009A0D85" w:rsidRPr="009A0D85" w:rsidRDefault="009A0D85" w:rsidP="0014758F">
      <w:pPr>
        <w:pStyle w:val="Default"/>
        <w:spacing w:line="360" w:lineRule="auto"/>
        <w:ind w:firstLine="1985"/>
        <w:jc w:val="both"/>
        <w:rPr>
          <w:color w:val="auto"/>
        </w:rPr>
      </w:pPr>
      <w:r w:rsidRPr="009A0D85">
        <w:rPr>
          <w:color w:val="auto"/>
        </w:rPr>
        <w:t xml:space="preserve">En su dictamen sostuvo: </w:t>
      </w:r>
      <w:r w:rsidRPr="009A0D85">
        <w:rPr>
          <w:i/>
          <w:color w:val="auto"/>
        </w:rPr>
        <w:t xml:space="preserve">“En la resolución recurrida no advierto configurado el error de derecho necesario para habilitar la intervención del más Alto Tribunal de la Provincia mediante la instancia </w:t>
      </w:r>
      <w:proofErr w:type="spellStart"/>
      <w:r w:rsidRPr="009A0D85">
        <w:rPr>
          <w:i/>
          <w:color w:val="auto"/>
        </w:rPr>
        <w:t>casatoria</w:t>
      </w:r>
      <w:proofErr w:type="spellEnd"/>
      <w:r w:rsidRPr="009A0D85">
        <w:rPr>
          <w:i/>
          <w:color w:val="auto"/>
        </w:rPr>
        <w:t>… No ha sido equívoco el criterio que, fundado en el derecho aplicable y derivado razonamiento de la sana crítica, ha efectuado el fallo de la Cámara en resolución unánime”.</w:t>
      </w:r>
    </w:p>
    <w:p w:rsidR="009A0D85" w:rsidRPr="009A0D85" w:rsidRDefault="009A0D85" w:rsidP="0014758F">
      <w:pPr>
        <w:spacing w:after="0" w:line="360" w:lineRule="auto"/>
        <w:ind w:firstLine="1985"/>
        <w:jc w:val="both"/>
        <w:rPr>
          <w:rFonts w:ascii="Arial" w:hAnsi="Arial" w:cs="Arial"/>
          <w:bCs/>
          <w:sz w:val="24"/>
          <w:szCs w:val="24"/>
        </w:rPr>
      </w:pPr>
      <w:r w:rsidRPr="009A0D85">
        <w:rPr>
          <w:rFonts w:ascii="Arial" w:hAnsi="Arial" w:cs="Arial"/>
          <w:sz w:val="24"/>
          <w:szCs w:val="24"/>
        </w:rPr>
        <w:t xml:space="preserve">4) Que los fundamentos expuestos en la postulación recursiva deben ser merituados a la luz de la doctrina sentada por este Tribunal que entiende que </w:t>
      </w:r>
      <w:r w:rsidRPr="00EE63D5">
        <w:rPr>
          <w:rFonts w:ascii="Arial" w:hAnsi="Arial" w:cs="Arial"/>
          <w:i/>
          <w:sz w:val="24"/>
          <w:szCs w:val="24"/>
        </w:rPr>
        <w:t>“el recurso de casación</w:t>
      </w:r>
      <w:r w:rsidRPr="00EE63D5">
        <w:rPr>
          <w:rFonts w:ascii="Arial" w:eastAsia="MS Mincho" w:hAnsi="Arial" w:cs="Arial"/>
          <w:i/>
          <w:sz w:val="24"/>
          <w:szCs w:val="24"/>
        </w:rPr>
        <w:t xml:space="preserve"> </w:t>
      </w:r>
      <w:r w:rsidRPr="00EE63D5">
        <w:rPr>
          <w:rFonts w:ascii="Arial" w:hAnsi="Arial" w:cs="Arial"/>
          <w:i/>
          <w:sz w:val="24"/>
          <w:szCs w:val="24"/>
        </w:rPr>
        <w:t xml:space="preserve">solo tiene viabilidad en el caso que exista un motivo legal (o causal); por ende no es suficiente el simple interés </w:t>
      </w:r>
      <w:r w:rsidR="00EE63D5" w:rsidRPr="00EE63D5">
        <w:rPr>
          <w:rFonts w:ascii="Arial" w:hAnsi="Arial" w:cs="Arial"/>
          <w:i/>
          <w:sz w:val="24"/>
          <w:szCs w:val="24"/>
        </w:rPr>
        <w:t>-</w:t>
      </w:r>
      <w:r w:rsidRPr="00EE63D5">
        <w:rPr>
          <w:rFonts w:ascii="Arial" w:hAnsi="Arial" w:cs="Arial"/>
          <w:i/>
          <w:sz w:val="24"/>
          <w:szCs w:val="24"/>
        </w:rPr>
        <w:t>el agravio- sino que se precisa que el defecto o error que se le imputa al decisorio recurrido esté expresamente tipificado</w:t>
      </w:r>
      <w:r w:rsidR="00EE63D5" w:rsidRPr="00EE63D5">
        <w:rPr>
          <w:rFonts w:ascii="Arial" w:hAnsi="Arial" w:cs="Arial"/>
          <w:i/>
          <w:sz w:val="24"/>
          <w:szCs w:val="24"/>
        </w:rPr>
        <w:t xml:space="preserve"> -</w:t>
      </w:r>
      <w:r w:rsidRPr="00EE63D5">
        <w:rPr>
          <w:rFonts w:ascii="Arial" w:hAnsi="Arial" w:cs="Arial"/>
          <w:i/>
          <w:sz w:val="24"/>
          <w:szCs w:val="24"/>
        </w:rPr>
        <w:t>objetivado- por la ley.”</w:t>
      </w:r>
      <w:r w:rsidRPr="009A0D85">
        <w:rPr>
          <w:rFonts w:ascii="Arial" w:hAnsi="Arial" w:cs="Arial"/>
          <w:sz w:val="24"/>
          <w:szCs w:val="24"/>
        </w:rPr>
        <w:t xml:space="preserve"> (Juan Carlos </w:t>
      </w:r>
      <w:proofErr w:type="spellStart"/>
      <w:r w:rsidRPr="009A0D85">
        <w:rPr>
          <w:rFonts w:ascii="Arial" w:hAnsi="Arial" w:cs="Arial"/>
          <w:sz w:val="24"/>
          <w:szCs w:val="24"/>
        </w:rPr>
        <w:t>Hitters</w:t>
      </w:r>
      <w:proofErr w:type="spellEnd"/>
      <w:r w:rsidRPr="009A0D85">
        <w:rPr>
          <w:rFonts w:ascii="Arial" w:hAnsi="Arial" w:cs="Arial"/>
          <w:sz w:val="24"/>
          <w:szCs w:val="24"/>
        </w:rPr>
        <w:t>, “Técnica de los recursos extraordinarios y de la casación”, 2da. Edición, p.213)</w:t>
      </w:r>
      <w:r w:rsidRPr="009A0D85">
        <w:rPr>
          <w:rFonts w:ascii="Arial" w:hAnsi="Arial" w:cs="Arial"/>
          <w:bCs/>
          <w:sz w:val="24"/>
          <w:szCs w:val="24"/>
          <w:lang w:val="pt-BR"/>
        </w:rPr>
        <w:t xml:space="preserve"> (cfr. STJSL-S.J. – S.D. Nº 086/19,</w:t>
      </w:r>
      <w:r w:rsidRPr="009A0D85">
        <w:rPr>
          <w:rFonts w:ascii="Arial" w:eastAsia="MS Mincho" w:hAnsi="Arial" w:cs="Arial"/>
          <w:iCs/>
          <w:sz w:val="24"/>
          <w:szCs w:val="24"/>
        </w:rPr>
        <w:t xml:space="preserve"> </w:t>
      </w:r>
      <w:r w:rsidRPr="009A0D85">
        <w:rPr>
          <w:rFonts w:ascii="Arial" w:hAnsi="Arial" w:cs="Arial"/>
          <w:bCs/>
          <w:sz w:val="24"/>
          <w:szCs w:val="24"/>
          <w:lang w:val="pt-BR"/>
        </w:rPr>
        <w:t xml:space="preserve">“DALLO CAROLINA ELDA c/ LÓPEZ LILIANA GRACIELA y OTRO s/ COBRO DE PESOS - LABORAL- RECURSO DE CASACIÓN-” – IURIX EXP Nº 274419/14, sent. </w:t>
      </w:r>
      <w:proofErr w:type="spellStart"/>
      <w:r w:rsidRPr="009A0D85">
        <w:rPr>
          <w:rFonts w:ascii="Arial" w:hAnsi="Arial" w:cs="Arial"/>
          <w:bCs/>
          <w:sz w:val="24"/>
          <w:szCs w:val="24"/>
          <w:lang w:val="pt-BR"/>
        </w:rPr>
        <w:t>del</w:t>
      </w:r>
      <w:proofErr w:type="spellEnd"/>
      <w:r w:rsidRPr="009A0D85">
        <w:rPr>
          <w:rFonts w:ascii="Arial" w:hAnsi="Arial" w:cs="Arial"/>
          <w:bCs/>
          <w:sz w:val="24"/>
          <w:szCs w:val="24"/>
          <w:lang w:val="pt-BR"/>
        </w:rPr>
        <w:t xml:space="preserve"> 21/05/2019; STJSL-S.J. – S.D. Nº 079/19 </w:t>
      </w:r>
      <w:r w:rsidRPr="009A0D85">
        <w:rPr>
          <w:rFonts w:ascii="Arial" w:eastAsia="MS Mincho" w:hAnsi="Arial" w:cs="Arial"/>
          <w:sz w:val="24"/>
          <w:szCs w:val="24"/>
          <w:lang w:val="es-ES" w:eastAsia="es-ES"/>
        </w:rPr>
        <w:t>“</w:t>
      </w:r>
      <w:r w:rsidRPr="009A0D85">
        <w:rPr>
          <w:rFonts w:ascii="Arial" w:eastAsia="MS Mincho" w:hAnsi="Arial" w:cs="Arial"/>
          <w:bCs/>
          <w:sz w:val="24"/>
          <w:szCs w:val="24"/>
          <w:lang w:eastAsia="es-ES"/>
        </w:rPr>
        <w:t>JOFRÉ ESTELA MYRIAM c/ AGUILAR ALFREDO y OTRO s/ DAÑOS y PERJUICIOS - RECURSO DE CASACIÓN</w:t>
      </w:r>
      <w:r w:rsidRPr="009A0D85">
        <w:rPr>
          <w:rFonts w:ascii="Arial" w:eastAsia="MS Mincho" w:hAnsi="Arial" w:cs="Arial"/>
          <w:sz w:val="24"/>
          <w:szCs w:val="24"/>
          <w:lang w:val="es-ES" w:eastAsia="es-ES"/>
        </w:rPr>
        <w:t xml:space="preserve">” - IURIX EXP N° </w:t>
      </w:r>
      <w:r w:rsidRPr="009A0D85">
        <w:rPr>
          <w:rFonts w:ascii="Arial" w:hAnsi="Arial" w:cs="Arial"/>
          <w:bCs/>
          <w:sz w:val="24"/>
          <w:szCs w:val="24"/>
        </w:rPr>
        <w:t xml:space="preserve">122986/3, </w:t>
      </w:r>
      <w:proofErr w:type="spellStart"/>
      <w:r w:rsidRPr="009A0D85">
        <w:rPr>
          <w:rFonts w:ascii="Arial" w:hAnsi="Arial" w:cs="Arial"/>
          <w:bCs/>
          <w:sz w:val="24"/>
          <w:szCs w:val="24"/>
        </w:rPr>
        <w:t>sent</w:t>
      </w:r>
      <w:proofErr w:type="spellEnd"/>
      <w:r w:rsidRPr="009A0D85">
        <w:rPr>
          <w:rFonts w:ascii="Arial" w:hAnsi="Arial" w:cs="Arial"/>
          <w:bCs/>
          <w:sz w:val="24"/>
          <w:szCs w:val="24"/>
        </w:rPr>
        <w:t>. 8/05/2019).</w:t>
      </w:r>
    </w:p>
    <w:p w:rsidR="009A0D85" w:rsidRPr="009A0D85" w:rsidRDefault="009A0D85" w:rsidP="0014758F">
      <w:pPr>
        <w:autoSpaceDE w:val="0"/>
        <w:autoSpaceDN w:val="0"/>
        <w:adjustRightInd w:val="0"/>
        <w:spacing w:after="0" w:line="360" w:lineRule="auto"/>
        <w:ind w:firstLine="1985"/>
        <w:jc w:val="both"/>
        <w:rPr>
          <w:rFonts w:ascii="Arial" w:hAnsi="Arial" w:cs="Arial"/>
          <w:sz w:val="24"/>
          <w:szCs w:val="24"/>
        </w:rPr>
      </w:pPr>
      <w:r w:rsidRPr="009A0D85">
        <w:rPr>
          <w:rFonts w:ascii="Arial" w:hAnsi="Arial" w:cs="Arial"/>
          <w:sz w:val="24"/>
          <w:szCs w:val="24"/>
          <w:lang w:val="es-ES"/>
        </w:rPr>
        <w:t>En ese sentido, el Superior Tribunal ha resuelto que</w:t>
      </w:r>
      <w:r w:rsidRPr="009A0D85">
        <w:rPr>
          <w:rFonts w:ascii="Arial" w:hAnsi="Arial" w:cs="Arial"/>
          <w:bCs/>
          <w:sz w:val="24"/>
          <w:szCs w:val="24"/>
        </w:rPr>
        <w:t xml:space="preserve"> </w:t>
      </w:r>
      <w:r w:rsidRPr="009A0D85">
        <w:rPr>
          <w:rFonts w:ascii="Arial" w:eastAsia="MS Mincho" w:hAnsi="Arial" w:cs="Arial"/>
          <w:sz w:val="24"/>
          <w:szCs w:val="24"/>
        </w:rPr>
        <w:t>para la procedencia del recurso de casación, se debe alegar sobre la correcta interpretación legal, indicando en modo claro y preciso la forma en que se ha violado la ley invocada en el fallo y cuál es la interpretación correcta; circunstancia que si no se cumple en autos, el recurso en estudio debe ser rechazado</w:t>
      </w:r>
      <w:r w:rsidR="00EE63D5">
        <w:rPr>
          <w:rFonts w:ascii="Arial" w:eastAsia="MS Mincho" w:hAnsi="Arial" w:cs="Arial"/>
          <w:sz w:val="24"/>
          <w:szCs w:val="24"/>
        </w:rPr>
        <w:t>.</w:t>
      </w:r>
      <w:r w:rsidRPr="009A0D85">
        <w:rPr>
          <w:rFonts w:ascii="Arial" w:eastAsia="MS Mincho" w:hAnsi="Arial" w:cs="Arial"/>
          <w:sz w:val="24"/>
          <w:szCs w:val="24"/>
        </w:rPr>
        <w:t xml:space="preserve"> </w:t>
      </w:r>
      <w:r w:rsidRPr="009A0D85">
        <w:rPr>
          <w:rFonts w:ascii="Arial" w:hAnsi="Arial" w:cs="Arial"/>
          <w:bCs/>
          <w:sz w:val="24"/>
          <w:szCs w:val="24"/>
          <w:lang w:val="pt-BR"/>
        </w:rPr>
        <w:t>(</w:t>
      </w:r>
      <w:r w:rsidRPr="009A0D85">
        <w:rPr>
          <w:rFonts w:ascii="Arial" w:eastAsia="Times New Roman" w:hAnsi="Arial" w:cs="Arial"/>
          <w:bCs/>
          <w:sz w:val="24"/>
          <w:szCs w:val="24"/>
          <w:lang w:val="pt-BR" w:eastAsia="es-ES"/>
        </w:rPr>
        <w:t>STJSL-S.J. – S.D. Nº 015/19.-</w:t>
      </w:r>
      <w:r w:rsidRPr="009A0D85">
        <w:rPr>
          <w:rFonts w:ascii="Arial" w:eastAsia="MS Mincho" w:hAnsi="Arial" w:cs="Arial"/>
          <w:iCs/>
          <w:sz w:val="24"/>
          <w:szCs w:val="24"/>
          <w:lang w:val="es-ES" w:eastAsia="es-ES"/>
        </w:rPr>
        <w:t xml:space="preserve"> </w:t>
      </w:r>
      <w:r w:rsidRPr="009A0D85">
        <w:rPr>
          <w:rFonts w:ascii="Arial" w:eastAsia="Times New Roman" w:hAnsi="Arial" w:cs="Arial"/>
          <w:sz w:val="24"/>
          <w:szCs w:val="24"/>
          <w:lang w:val="es-ES" w:eastAsia="es-ES"/>
        </w:rPr>
        <w:t xml:space="preserve">“BRITO NILDA MERCEDES c/ LUCERO ANA GABRIELA s/ COBRO DE PESOS - LABORAL - RECURSO DE CASACIÓN” – IURIX EXP Nº </w:t>
      </w:r>
      <w:r w:rsidRPr="009A0D85">
        <w:rPr>
          <w:rFonts w:ascii="Arial" w:hAnsi="Arial" w:cs="Arial"/>
          <w:sz w:val="24"/>
          <w:szCs w:val="24"/>
        </w:rPr>
        <w:t>235365/12</w:t>
      </w:r>
      <w:r w:rsidRPr="009A0D85">
        <w:rPr>
          <w:rFonts w:ascii="Arial" w:eastAsia="Times New Roman" w:hAnsi="Arial" w:cs="Arial"/>
          <w:sz w:val="24"/>
          <w:szCs w:val="24"/>
          <w:lang w:val="es-ES" w:eastAsia="es-ES"/>
        </w:rPr>
        <w:t xml:space="preserve">, </w:t>
      </w:r>
      <w:proofErr w:type="spellStart"/>
      <w:r w:rsidRPr="009A0D85">
        <w:rPr>
          <w:rFonts w:ascii="Arial" w:eastAsia="Times New Roman" w:hAnsi="Arial" w:cs="Arial"/>
          <w:sz w:val="24"/>
          <w:szCs w:val="24"/>
          <w:lang w:val="es-ES" w:eastAsia="es-ES"/>
        </w:rPr>
        <w:t>sent</w:t>
      </w:r>
      <w:proofErr w:type="spellEnd"/>
      <w:r w:rsidRPr="009A0D85">
        <w:rPr>
          <w:rFonts w:ascii="Arial" w:eastAsia="Times New Roman" w:hAnsi="Arial" w:cs="Arial"/>
          <w:sz w:val="24"/>
          <w:szCs w:val="24"/>
          <w:lang w:val="es-ES" w:eastAsia="es-ES"/>
        </w:rPr>
        <w:t xml:space="preserve">. del 19/02/2019; </w:t>
      </w:r>
      <w:r w:rsidRPr="009A0D85">
        <w:rPr>
          <w:rFonts w:ascii="Arial" w:hAnsi="Arial" w:cs="Arial"/>
          <w:bCs/>
          <w:sz w:val="24"/>
          <w:szCs w:val="24"/>
          <w:lang w:val="pt-BR"/>
        </w:rPr>
        <w:t xml:space="preserve">STJSL-S.J. – S.D. Nº 088/18.- </w:t>
      </w:r>
      <w:r w:rsidRPr="009A0D85">
        <w:rPr>
          <w:rFonts w:ascii="Arial" w:hAnsi="Arial" w:cs="Arial"/>
          <w:sz w:val="24"/>
          <w:szCs w:val="24"/>
        </w:rPr>
        <w:t xml:space="preserve">“NORTE S.A. c/ MONTENEGRO YOLANDA s/ </w:t>
      </w:r>
      <w:r w:rsidRPr="009A0D85">
        <w:rPr>
          <w:rFonts w:ascii="Arial" w:hAnsi="Arial" w:cs="Arial"/>
          <w:sz w:val="24"/>
          <w:szCs w:val="24"/>
        </w:rPr>
        <w:lastRenderedPageBreak/>
        <w:t>CONSIGNACIÓN – RECURSO DE CASACIÓN” – IURIX EXPTE. Nº 114308/5, del 23/04/2018).</w:t>
      </w:r>
    </w:p>
    <w:p w:rsidR="009A0D85" w:rsidRPr="009A0D85" w:rsidRDefault="009A0D85" w:rsidP="0014758F">
      <w:pPr>
        <w:autoSpaceDE w:val="0"/>
        <w:autoSpaceDN w:val="0"/>
        <w:adjustRightInd w:val="0"/>
        <w:spacing w:after="0" w:line="360" w:lineRule="auto"/>
        <w:ind w:firstLine="1985"/>
        <w:jc w:val="both"/>
        <w:rPr>
          <w:rFonts w:ascii="Arial" w:hAnsi="Arial" w:cs="Arial"/>
          <w:sz w:val="24"/>
          <w:szCs w:val="24"/>
        </w:rPr>
      </w:pPr>
      <w:r w:rsidRPr="009A0D85">
        <w:rPr>
          <w:rFonts w:ascii="Arial" w:hAnsi="Arial" w:cs="Arial"/>
          <w:sz w:val="24"/>
          <w:szCs w:val="24"/>
        </w:rPr>
        <w:t>Que bajo tales lineamientos, en la solución del recurso de casación traído a estudio, comparto lo dictaminado por el Sr. Procurador General, y en consecuencia, me pronuncio por su rechazo.</w:t>
      </w:r>
    </w:p>
    <w:p w:rsidR="009A0D85" w:rsidRPr="009A0D85" w:rsidRDefault="009A0D85" w:rsidP="0014758F">
      <w:pPr>
        <w:pStyle w:val="Textoindependiente2"/>
        <w:tabs>
          <w:tab w:val="left" w:pos="4680"/>
        </w:tabs>
        <w:spacing w:after="0" w:line="360" w:lineRule="auto"/>
        <w:ind w:firstLine="1985"/>
        <w:jc w:val="both"/>
        <w:rPr>
          <w:rFonts w:ascii="Arial" w:hAnsi="Arial" w:cs="Arial"/>
          <w:sz w:val="24"/>
          <w:szCs w:val="24"/>
        </w:rPr>
      </w:pPr>
      <w:r w:rsidRPr="009A0D85">
        <w:rPr>
          <w:rFonts w:ascii="Arial" w:hAnsi="Arial" w:cs="Arial"/>
          <w:sz w:val="24"/>
          <w:szCs w:val="24"/>
          <w:lang w:eastAsia="es-AR"/>
        </w:rPr>
        <w:t xml:space="preserve">En efecto, en mi opinión, y luego de una detenida lectura del </w:t>
      </w:r>
      <w:r w:rsidRPr="009A0D85">
        <w:rPr>
          <w:rFonts w:ascii="Arial" w:hAnsi="Arial" w:cs="Arial"/>
          <w:sz w:val="24"/>
          <w:szCs w:val="24"/>
        </w:rPr>
        <w:t>planteo recursivo, surge manifiesto que lo que se cuestiona es el encuadramiento convencional del actor, que reclama la aplicación del CCT 260/75, en abierta disputa con la demandada.</w:t>
      </w:r>
    </w:p>
    <w:p w:rsidR="009A0D85" w:rsidRPr="00EE63D5" w:rsidRDefault="009A0D85" w:rsidP="0014758F">
      <w:pPr>
        <w:pStyle w:val="Textoindependiente2"/>
        <w:tabs>
          <w:tab w:val="left" w:pos="4680"/>
        </w:tabs>
        <w:spacing w:after="0" w:line="360" w:lineRule="auto"/>
        <w:ind w:firstLine="1985"/>
        <w:jc w:val="both"/>
        <w:rPr>
          <w:rFonts w:ascii="Arial" w:hAnsi="Arial" w:cs="Arial"/>
          <w:i/>
          <w:sz w:val="24"/>
          <w:szCs w:val="24"/>
          <w:lang w:val="es-ES"/>
        </w:rPr>
      </w:pPr>
      <w:r w:rsidRPr="009A0D85">
        <w:rPr>
          <w:rFonts w:ascii="Arial" w:hAnsi="Arial" w:cs="Arial"/>
          <w:sz w:val="24"/>
          <w:szCs w:val="24"/>
        </w:rPr>
        <w:t xml:space="preserve">Que sobre el punto, el a quo consideró </w:t>
      </w:r>
      <w:r w:rsidRPr="00EE63D5">
        <w:rPr>
          <w:rFonts w:ascii="Arial" w:hAnsi="Arial" w:cs="Arial"/>
          <w:i/>
          <w:sz w:val="24"/>
          <w:szCs w:val="24"/>
        </w:rPr>
        <w:t>“</w:t>
      </w:r>
      <w:r w:rsidRPr="00EE63D5">
        <w:rPr>
          <w:rFonts w:ascii="Arial" w:hAnsi="Arial" w:cs="Arial"/>
          <w:i/>
          <w:sz w:val="24"/>
          <w:szCs w:val="24"/>
          <w:lang w:val="es-ES"/>
        </w:rPr>
        <w:t>la actividad del actor no resulta ser la del CCT 260/1(7), en tanto su actividad no se encuentra comprendido dentro del personal que enmarca el Art. 4, sino que se encuentra amparado bajo el gremio de UTEDYC …”.</w:t>
      </w:r>
    </w:p>
    <w:p w:rsidR="009A0D85" w:rsidRPr="009A0D85" w:rsidRDefault="009A0D85" w:rsidP="0014758F">
      <w:pPr>
        <w:pStyle w:val="Textoindependiente2"/>
        <w:tabs>
          <w:tab w:val="left" w:pos="4680"/>
        </w:tabs>
        <w:spacing w:after="0" w:line="360" w:lineRule="auto"/>
        <w:ind w:firstLine="1985"/>
        <w:jc w:val="both"/>
        <w:rPr>
          <w:rFonts w:ascii="Arial" w:hAnsi="Arial" w:cs="Arial"/>
          <w:sz w:val="24"/>
          <w:szCs w:val="24"/>
          <w:shd w:val="clear" w:color="auto" w:fill="FFFFFF"/>
        </w:rPr>
      </w:pPr>
      <w:r w:rsidRPr="009A0D85">
        <w:rPr>
          <w:rFonts w:ascii="Arial" w:hAnsi="Arial" w:cs="Arial"/>
          <w:sz w:val="24"/>
          <w:szCs w:val="24"/>
          <w:lang w:val="es-ES"/>
        </w:rPr>
        <w:t xml:space="preserve">Es decir, </w:t>
      </w:r>
      <w:r w:rsidRPr="009A0D85">
        <w:rPr>
          <w:rFonts w:ascii="Arial" w:eastAsia="Calibri" w:hAnsi="Arial" w:cs="Arial"/>
          <w:sz w:val="24"/>
          <w:szCs w:val="24"/>
          <w:lang w:eastAsia="es-AR"/>
        </w:rPr>
        <w:t xml:space="preserve">el </w:t>
      </w:r>
      <w:r w:rsidRPr="009A0D85">
        <w:rPr>
          <w:rFonts w:ascii="Arial" w:eastAsia="Times New Roman" w:hAnsi="Arial" w:cs="Arial"/>
          <w:sz w:val="24"/>
          <w:szCs w:val="24"/>
          <w:lang w:eastAsia="es-AR"/>
        </w:rPr>
        <w:t>encuadramiento legal de los hechos</w:t>
      </w:r>
      <w:r w:rsidRPr="009A0D85">
        <w:rPr>
          <w:rFonts w:ascii="Arial" w:eastAsia="Calibri" w:hAnsi="Arial" w:cs="Arial"/>
          <w:sz w:val="24"/>
          <w:szCs w:val="24"/>
        </w:rPr>
        <w:t xml:space="preserve">, conforme a las circunstancias comprobadas en la causa, ha sido </w:t>
      </w:r>
      <w:proofErr w:type="gramStart"/>
      <w:r w:rsidRPr="009A0D85">
        <w:rPr>
          <w:rFonts w:ascii="Arial" w:eastAsia="Calibri" w:hAnsi="Arial" w:cs="Arial"/>
          <w:sz w:val="24"/>
          <w:szCs w:val="24"/>
        </w:rPr>
        <w:t>abordada</w:t>
      </w:r>
      <w:proofErr w:type="gramEnd"/>
      <w:r w:rsidRPr="009A0D85">
        <w:rPr>
          <w:rFonts w:ascii="Arial" w:eastAsia="Calibri" w:hAnsi="Arial" w:cs="Arial"/>
          <w:sz w:val="24"/>
          <w:szCs w:val="24"/>
        </w:rPr>
        <w:t xml:space="preserve"> en las instancias de grado</w:t>
      </w:r>
      <w:r w:rsidRPr="009A0D85">
        <w:rPr>
          <w:rFonts w:ascii="Arial" w:hAnsi="Arial" w:cs="Arial"/>
          <w:sz w:val="24"/>
          <w:szCs w:val="24"/>
        </w:rPr>
        <w:t xml:space="preserve"> por lo que </w:t>
      </w:r>
      <w:r w:rsidR="00EE63D5">
        <w:rPr>
          <w:rFonts w:ascii="Arial" w:hAnsi="Arial" w:cs="Arial"/>
          <w:sz w:val="24"/>
          <w:szCs w:val="24"/>
          <w:lang w:val="es-ES"/>
        </w:rPr>
        <w:t xml:space="preserve">más </w:t>
      </w:r>
      <w:r w:rsidRPr="009A0D85">
        <w:rPr>
          <w:rFonts w:ascii="Arial" w:hAnsi="Arial" w:cs="Arial"/>
          <w:sz w:val="24"/>
          <w:szCs w:val="24"/>
        </w:rPr>
        <w:t xml:space="preserve">allá del descontento del recurrente o de su pretensión de obtener un reexamen de lo resuelto, por ser tal cuestión </w:t>
      </w:r>
      <w:r w:rsidRPr="009A0D85">
        <w:rPr>
          <w:rFonts w:ascii="Arial" w:hAnsi="Arial" w:cs="Arial"/>
          <w:sz w:val="24"/>
          <w:szCs w:val="24"/>
          <w:lang w:eastAsia="es-AR"/>
        </w:rPr>
        <w:t>ajena al limitado ámbito cognoscitivo del recurso, no podría examinarse.</w:t>
      </w:r>
    </w:p>
    <w:p w:rsidR="009A0D85" w:rsidRPr="009A0D85" w:rsidRDefault="009A0D85" w:rsidP="0014758F">
      <w:pPr>
        <w:pStyle w:val="Textoindependiente2"/>
        <w:tabs>
          <w:tab w:val="left" w:pos="4680"/>
        </w:tabs>
        <w:spacing w:after="0" w:line="360" w:lineRule="auto"/>
        <w:ind w:firstLine="1985"/>
        <w:jc w:val="both"/>
        <w:rPr>
          <w:rFonts w:ascii="Arial" w:hAnsi="Arial" w:cs="Arial"/>
          <w:sz w:val="24"/>
          <w:szCs w:val="24"/>
          <w:lang w:val="es-ES"/>
        </w:rPr>
      </w:pPr>
      <w:r w:rsidRPr="009A0D85">
        <w:rPr>
          <w:rFonts w:ascii="Arial" w:hAnsi="Arial" w:cs="Arial"/>
          <w:sz w:val="24"/>
          <w:szCs w:val="24"/>
        </w:rPr>
        <w:t xml:space="preserve">Que sobre el punto se ha dicho: </w:t>
      </w:r>
      <w:r w:rsidRPr="009A0D85">
        <w:rPr>
          <w:rFonts w:ascii="Arial" w:hAnsi="Arial" w:cs="Arial"/>
          <w:i/>
          <w:sz w:val="24"/>
          <w:szCs w:val="24"/>
        </w:rPr>
        <w:t>“Las cuestiones vinculadas con… la aplicación de normas de un convenio colectivo de trabajo y la interpretación que cabe acordarle a sus términos son cuestiones de hecho, prueba y derecho común, propia de los jueces de la causa y ajenos al recurso de casación.”</w:t>
      </w:r>
      <w:r w:rsidRPr="009A0D85">
        <w:rPr>
          <w:rFonts w:ascii="Arial" w:hAnsi="Arial" w:cs="Arial"/>
          <w:sz w:val="24"/>
          <w:szCs w:val="24"/>
        </w:rPr>
        <w:t xml:space="preserve"> (</w:t>
      </w:r>
      <w:hyperlink r:id="rId6" w:history="1">
        <w:r w:rsidRPr="009A0D85">
          <w:rPr>
            <w:rStyle w:val="Hipervnculo"/>
            <w:rFonts w:ascii="Arial" w:hAnsi="Arial" w:cs="Arial"/>
            <w:color w:val="auto"/>
            <w:sz w:val="24"/>
            <w:szCs w:val="24"/>
            <w:u w:val="none"/>
            <w:bdr w:val="none" w:sz="0" w:space="0" w:color="auto" w:frame="1"/>
            <w:shd w:val="clear" w:color="auto" w:fill="FFFFFF"/>
          </w:rPr>
          <w:t>Superior Tribunal de Justicia de la Provincia del Chubut.  Varas, José H. c. Banca Nazionale del Lavoro S.A. 27/04/2005, LLPatagonia 2006 , 132  • AR/JUR/5260/2005</w:t>
        </w:r>
      </w:hyperlink>
      <w:r w:rsidRPr="009A0D85">
        <w:rPr>
          <w:rFonts w:ascii="Arial" w:hAnsi="Arial" w:cs="Arial"/>
          <w:sz w:val="24"/>
          <w:szCs w:val="24"/>
        </w:rPr>
        <w:t xml:space="preserve">); </w:t>
      </w:r>
      <w:r w:rsidRPr="009A0D85">
        <w:rPr>
          <w:rFonts w:ascii="Arial" w:hAnsi="Arial" w:cs="Arial"/>
          <w:i/>
          <w:sz w:val="24"/>
          <w:szCs w:val="24"/>
          <w:lang w:val="es-ES"/>
        </w:rPr>
        <w:t xml:space="preserve">“Definir si un convenio colectivo de trabajo resulta aplicable o no a algunos trabajadores o si determinada actividad se encuentra comprendida en el mismo -en tanto cuestión fáctica- constituye una facultad privativa de los jueces de grado cuya decisión se encuentra exenta de revisión </w:t>
      </w:r>
      <w:r w:rsidRPr="009A0D85">
        <w:rPr>
          <w:rFonts w:ascii="Arial" w:hAnsi="Arial" w:cs="Arial"/>
          <w:i/>
          <w:sz w:val="24"/>
          <w:szCs w:val="24"/>
          <w:lang w:val="es-ES"/>
        </w:rPr>
        <w:lastRenderedPageBreak/>
        <w:t>en casación, salvo absurdo.”</w:t>
      </w:r>
      <w:r w:rsidRPr="009A0D85">
        <w:rPr>
          <w:rFonts w:ascii="Arial" w:hAnsi="Arial" w:cs="Arial"/>
          <w:sz w:val="24"/>
          <w:szCs w:val="24"/>
          <w:lang w:val="es-ES"/>
        </w:rPr>
        <w:t xml:space="preserve"> (SCJ, Buenos Aires; 06/03/1990, </w:t>
      </w:r>
      <w:r w:rsidRPr="009A0D85">
        <w:rPr>
          <w:rFonts w:ascii="Arial" w:hAnsi="Arial" w:cs="Arial"/>
          <w:bCs/>
          <w:sz w:val="24"/>
          <w:szCs w:val="24"/>
          <w:lang w:val="es-ES"/>
        </w:rPr>
        <w:t>Villaverde, Raúl Abel vs. Jockey Club de Mar del Plata s. Bonificación sobre venta de boletos.</w:t>
      </w:r>
      <w:r w:rsidRPr="009A0D85">
        <w:rPr>
          <w:rFonts w:ascii="Arial" w:hAnsi="Arial" w:cs="Arial"/>
          <w:sz w:val="24"/>
          <w:szCs w:val="24"/>
          <w:lang w:val="es-ES"/>
        </w:rPr>
        <w:t xml:space="preserve"> Revista de Jurisprudencia Provincial; RC J 1714/05).</w:t>
      </w:r>
      <w:r w:rsidR="004432D0">
        <w:rPr>
          <w:rFonts w:ascii="Arial" w:hAnsi="Arial" w:cs="Arial"/>
          <w:sz w:val="24"/>
          <w:szCs w:val="24"/>
          <w:lang w:val="es-ES"/>
        </w:rPr>
        <w:t xml:space="preserve"> </w:t>
      </w:r>
    </w:p>
    <w:p w:rsidR="009A0D85" w:rsidRPr="009A0D85" w:rsidRDefault="009A0D85" w:rsidP="0014758F">
      <w:pPr>
        <w:pStyle w:val="Textoindependiente2"/>
        <w:tabs>
          <w:tab w:val="left" w:pos="4680"/>
        </w:tabs>
        <w:spacing w:after="0" w:line="360" w:lineRule="auto"/>
        <w:ind w:firstLine="1985"/>
        <w:jc w:val="both"/>
        <w:rPr>
          <w:rFonts w:ascii="Arial" w:hAnsi="Arial" w:cs="Arial"/>
          <w:sz w:val="24"/>
          <w:szCs w:val="24"/>
          <w:shd w:val="clear" w:color="auto" w:fill="FFFFFF"/>
        </w:rPr>
      </w:pPr>
      <w:r w:rsidRPr="009A0D85">
        <w:rPr>
          <w:rFonts w:ascii="Arial" w:hAnsi="Arial" w:cs="Arial"/>
          <w:sz w:val="24"/>
          <w:szCs w:val="24"/>
          <w:shd w:val="clear" w:color="auto" w:fill="FFFFFF"/>
        </w:rPr>
        <w:t>Que por otra parte, cabe poner de relieve que la fundamentación expuesta en relación a las diferencias salariales y las costas, afín a una expresión de agravios, también trasunta una mera discrepancia con lo resuelto.</w:t>
      </w:r>
    </w:p>
    <w:p w:rsidR="009A0D85" w:rsidRPr="009A0D85" w:rsidRDefault="009A0D85" w:rsidP="0014758F">
      <w:pPr>
        <w:pStyle w:val="Textoindependiente"/>
        <w:tabs>
          <w:tab w:val="left" w:pos="1843"/>
        </w:tabs>
        <w:ind w:firstLine="1985"/>
        <w:rPr>
          <w:rFonts w:cs="Arial"/>
          <w:szCs w:val="24"/>
        </w:rPr>
      </w:pPr>
      <w:r w:rsidRPr="009A0D85">
        <w:rPr>
          <w:rFonts w:cs="Arial"/>
          <w:szCs w:val="24"/>
        </w:rPr>
        <w:t xml:space="preserve">En esta instancia no puede desconocerse que no es tarea de la casación el examen integral del proceso sino que su función se limita a confrontar la aplicación correcta del derecho a los hechos definitivamente juzgados en la sede de grado, ya que no constituye una tercera instancia ordinaria abierta para atender quejas fundadas tan solo en un criterio distinto al de los jueces de la instancia ordinaria, en punto a la verificación de los hechos (ver. Juan Carlos </w:t>
      </w:r>
      <w:proofErr w:type="spellStart"/>
      <w:r w:rsidRPr="009A0D85">
        <w:rPr>
          <w:rFonts w:cs="Arial"/>
          <w:szCs w:val="24"/>
        </w:rPr>
        <w:t>Hitters</w:t>
      </w:r>
      <w:proofErr w:type="spellEnd"/>
      <w:r w:rsidRPr="009A0D85">
        <w:rPr>
          <w:rFonts w:cs="Arial"/>
          <w:szCs w:val="24"/>
        </w:rPr>
        <w:t>. Técnica de los recursos extraordinario y de la Casación 2da edición. Ed. Librería Editora Platense S.R.L La Plata 1998, p. 280).</w:t>
      </w:r>
    </w:p>
    <w:p w:rsidR="009A0D85" w:rsidRPr="009A0D85" w:rsidRDefault="009A0D85" w:rsidP="0014758F">
      <w:pPr>
        <w:pStyle w:val="Textoindependiente"/>
        <w:tabs>
          <w:tab w:val="left" w:pos="1843"/>
        </w:tabs>
        <w:ind w:firstLine="1985"/>
        <w:rPr>
          <w:rFonts w:eastAsia="MS Mincho" w:cs="Arial"/>
          <w:szCs w:val="24"/>
        </w:rPr>
      </w:pPr>
      <w:r w:rsidRPr="009A0D85">
        <w:rPr>
          <w:rFonts w:eastAsia="MS Mincho" w:cs="Arial"/>
          <w:szCs w:val="24"/>
        </w:rPr>
        <w:t>Tal es así que reiteradamente se ha dicho</w:t>
      </w:r>
      <w:r w:rsidR="004432D0">
        <w:rPr>
          <w:rFonts w:eastAsia="MS Mincho" w:cs="Arial"/>
          <w:szCs w:val="24"/>
        </w:rPr>
        <w:t>:</w:t>
      </w:r>
      <w:r w:rsidRPr="009A0D85">
        <w:rPr>
          <w:rFonts w:eastAsia="MS Mincho" w:cs="Arial"/>
          <w:szCs w:val="24"/>
        </w:rPr>
        <w:t xml:space="preserve"> </w:t>
      </w:r>
      <w:r w:rsidRPr="009A0D85">
        <w:rPr>
          <w:rFonts w:eastAsia="MS Mincho" w:cs="Arial"/>
          <w:i/>
          <w:szCs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9A0D85">
        <w:rPr>
          <w:rFonts w:cs="Arial"/>
          <w:szCs w:val="24"/>
        </w:rPr>
        <w:t xml:space="preserve"> (</w:t>
      </w:r>
      <w:r>
        <w:rPr>
          <w:rFonts w:cs="Arial"/>
          <w:szCs w:val="24"/>
        </w:rPr>
        <w:t>C</w:t>
      </w:r>
      <w:r w:rsidRPr="009A0D85">
        <w:rPr>
          <w:rFonts w:cs="Arial"/>
          <w:szCs w:val="24"/>
        </w:rPr>
        <w:t xml:space="preserve">fr. </w:t>
      </w:r>
      <w:proofErr w:type="gramStart"/>
      <w:r w:rsidRPr="009A0D85">
        <w:rPr>
          <w:rFonts w:cs="Arial"/>
          <w:szCs w:val="24"/>
        </w:rPr>
        <w:t>entre</w:t>
      </w:r>
      <w:proofErr w:type="gramEnd"/>
      <w:r w:rsidRPr="009A0D85">
        <w:rPr>
          <w:rFonts w:cs="Arial"/>
          <w:szCs w:val="24"/>
        </w:rPr>
        <w:t xml:space="preserve"> muchos otros: S</w:t>
      </w:r>
      <w:r w:rsidRPr="009A0D85">
        <w:rPr>
          <w:rFonts w:eastAsia="Calibri" w:cs="Arial"/>
          <w:bCs/>
          <w:szCs w:val="24"/>
        </w:rPr>
        <w:t>TJSL-S.J. – S.D. Nº 103/18.-</w:t>
      </w:r>
      <w:r w:rsidRPr="009A0D85">
        <w:rPr>
          <w:rFonts w:cs="Arial"/>
          <w:szCs w:val="24"/>
        </w:rPr>
        <w:t xml:space="preserve"> “MAGALLANE RITA EVIT c/ OSECAC y OTROS – DESPIDO - RECURSO DE CASACIÓN” – IURIX EXP Nº 140243/8, </w:t>
      </w:r>
      <w:proofErr w:type="spellStart"/>
      <w:r w:rsidRPr="009A0D85">
        <w:rPr>
          <w:rFonts w:cs="Arial"/>
          <w:szCs w:val="24"/>
        </w:rPr>
        <w:t>sent</w:t>
      </w:r>
      <w:proofErr w:type="spellEnd"/>
      <w:r w:rsidRPr="009A0D85">
        <w:rPr>
          <w:rFonts w:cs="Arial"/>
          <w:szCs w:val="24"/>
        </w:rPr>
        <w:t xml:space="preserve">. del 24.05.2018; </w:t>
      </w:r>
      <w:r w:rsidRPr="009A0D85">
        <w:rPr>
          <w:rFonts w:cs="Arial"/>
          <w:bCs/>
          <w:szCs w:val="24"/>
          <w:lang w:val="pt-BR"/>
        </w:rPr>
        <w:t xml:space="preserve">STJSL-S.J. – S.D. Nº 083/18, </w:t>
      </w:r>
      <w:r w:rsidRPr="009A0D85">
        <w:rPr>
          <w:rFonts w:cs="Arial"/>
          <w:szCs w:val="24"/>
        </w:rPr>
        <w:t>"FERNÁNDEZ JORGE c/ ESTANCIA LOS AROMOS y OTRO</w:t>
      </w:r>
      <w:r w:rsidRPr="009A0D85">
        <w:rPr>
          <w:rFonts w:cs="Arial"/>
          <w:bCs/>
          <w:szCs w:val="24"/>
        </w:rPr>
        <w:t xml:space="preserve">. RECURSO DE CASACIÓN.” - IURIX EXP. N° 132428/7, </w:t>
      </w:r>
      <w:proofErr w:type="spellStart"/>
      <w:r w:rsidRPr="009A0D85">
        <w:rPr>
          <w:rFonts w:cs="Arial"/>
          <w:bCs/>
          <w:szCs w:val="24"/>
        </w:rPr>
        <w:t>sent</w:t>
      </w:r>
      <w:proofErr w:type="spellEnd"/>
      <w:r w:rsidRPr="009A0D85">
        <w:rPr>
          <w:rFonts w:cs="Arial"/>
          <w:bCs/>
          <w:szCs w:val="24"/>
        </w:rPr>
        <w:t xml:space="preserve">. </w:t>
      </w:r>
      <w:proofErr w:type="gramStart"/>
      <w:r w:rsidRPr="009A0D85">
        <w:rPr>
          <w:rFonts w:cs="Arial"/>
          <w:bCs/>
          <w:szCs w:val="24"/>
        </w:rPr>
        <w:t>del</w:t>
      </w:r>
      <w:proofErr w:type="gramEnd"/>
      <w:r w:rsidRPr="009A0D85">
        <w:rPr>
          <w:rFonts w:cs="Arial"/>
          <w:bCs/>
          <w:szCs w:val="24"/>
        </w:rPr>
        <w:t xml:space="preserve"> 23/04/2018; STJSL-S.J. – S.D. Nº 047/16, </w:t>
      </w:r>
      <w:r w:rsidRPr="009A0D85">
        <w:rPr>
          <w:rFonts w:cs="Arial"/>
          <w:szCs w:val="24"/>
        </w:rPr>
        <w:t xml:space="preserve">“SIRONE, LUIS BARTOLO c/ BLANCO RICARDO LUIS s/ LABORAL s/ RECURSO DE CASACIÓN” - IURIX Nº 172912/5, del 31/03/2016; STJSL-S.J. N° 102/13.- “URQUIZA ALICIA INES </w:t>
      </w:r>
      <w:r w:rsidR="004432D0">
        <w:rPr>
          <w:rFonts w:cs="Arial"/>
          <w:szCs w:val="24"/>
        </w:rPr>
        <w:t>c</w:t>
      </w:r>
      <w:r w:rsidRPr="009A0D85">
        <w:rPr>
          <w:rFonts w:cs="Arial"/>
          <w:szCs w:val="24"/>
        </w:rPr>
        <w:t xml:space="preserve">/ MAZZONI CARLOS y OTRA </w:t>
      </w:r>
      <w:r w:rsidR="004432D0">
        <w:rPr>
          <w:rFonts w:cs="Arial"/>
          <w:szCs w:val="24"/>
        </w:rPr>
        <w:t>s</w:t>
      </w:r>
      <w:r w:rsidRPr="009A0D85">
        <w:rPr>
          <w:rFonts w:cs="Arial"/>
          <w:szCs w:val="24"/>
        </w:rPr>
        <w:t>/ LABORAL - RECURSO DE CASACI</w:t>
      </w:r>
      <w:r w:rsidR="004432D0">
        <w:rPr>
          <w:rFonts w:cs="Arial"/>
          <w:szCs w:val="24"/>
        </w:rPr>
        <w:t>Ó</w:t>
      </w:r>
      <w:r w:rsidRPr="009A0D85">
        <w:rPr>
          <w:rFonts w:cs="Arial"/>
          <w:szCs w:val="24"/>
        </w:rPr>
        <w:t xml:space="preserve">N." </w:t>
      </w:r>
      <w:proofErr w:type="spellStart"/>
      <w:r w:rsidRPr="009A0D85">
        <w:rPr>
          <w:rFonts w:cs="Arial"/>
          <w:szCs w:val="24"/>
        </w:rPr>
        <w:t>Expte</w:t>
      </w:r>
      <w:proofErr w:type="spellEnd"/>
      <w:r w:rsidRPr="009A0D85">
        <w:rPr>
          <w:rFonts w:cs="Arial"/>
          <w:szCs w:val="24"/>
        </w:rPr>
        <w:t xml:space="preserve">. Nº 01-U-13 -IURIX Nº 172642/9, del </w:t>
      </w:r>
      <w:r w:rsidRPr="009A0D85">
        <w:rPr>
          <w:rFonts w:cs="Arial"/>
          <w:szCs w:val="24"/>
        </w:rPr>
        <w:lastRenderedPageBreak/>
        <w:t xml:space="preserve">6/11/2013; </w:t>
      </w:r>
      <w:r w:rsidRPr="009A0D85">
        <w:rPr>
          <w:rFonts w:cs="Arial"/>
          <w:bCs/>
          <w:szCs w:val="24"/>
        </w:rPr>
        <w:t>STJSL-S.J. – S.D. Nº 121/15.-</w:t>
      </w:r>
      <w:r w:rsidRPr="009A0D85">
        <w:rPr>
          <w:rFonts w:cs="Arial"/>
          <w:iCs/>
          <w:szCs w:val="24"/>
        </w:rPr>
        <w:t xml:space="preserve"> </w:t>
      </w:r>
      <w:r w:rsidRPr="009A0D85">
        <w:rPr>
          <w:rFonts w:cs="Arial"/>
          <w:szCs w:val="24"/>
        </w:rPr>
        <w:t>“</w:t>
      </w:r>
      <w:r w:rsidRPr="009A0D85">
        <w:rPr>
          <w:rFonts w:cs="Arial"/>
          <w:bCs/>
          <w:iCs/>
          <w:szCs w:val="24"/>
        </w:rPr>
        <w:t>MACAUDIER, MARIO ALBERTO c/ SANDRA TORRES y OTROS s/ REIVINDICACIÓN – RECURSO DE CASACIÓN</w:t>
      </w:r>
      <w:r w:rsidRPr="009A0D85">
        <w:rPr>
          <w:rFonts w:cs="Arial"/>
          <w:bCs/>
          <w:szCs w:val="24"/>
        </w:rPr>
        <w:t xml:space="preserve">” - </w:t>
      </w:r>
      <w:r w:rsidRPr="009A0D85">
        <w:rPr>
          <w:rFonts w:cs="Arial"/>
          <w:szCs w:val="24"/>
        </w:rPr>
        <w:t xml:space="preserve"> IURIX Nº 176584/8, del 17/12/15).</w:t>
      </w:r>
    </w:p>
    <w:p w:rsidR="009A0D85" w:rsidRPr="009A0D85" w:rsidRDefault="009A0D85" w:rsidP="0014758F">
      <w:pPr>
        <w:pStyle w:val="Textoindependiente"/>
        <w:tabs>
          <w:tab w:val="left" w:pos="0"/>
          <w:tab w:val="left" w:pos="1843"/>
        </w:tabs>
        <w:ind w:firstLine="1985"/>
        <w:rPr>
          <w:rFonts w:cs="Arial"/>
          <w:szCs w:val="24"/>
        </w:rPr>
      </w:pPr>
      <w:r w:rsidRPr="009A0D85">
        <w:rPr>
          <w:rFonts w:eastAsia="MS Mincho" w:cs="Arial"/>
          <w:szCs w:val="24"/>
        </w:rPr>
        <w:t xml:space="preserve">En razón de lo expuesto, y fundamentos dados, </w:t>
      </w:r>
      <w:r>
        <w:rPr>
          <w:rFonts w:cs="Arial"/>
          <w:szCs w:val="24"/>
        </w:rPr>
        <w:t xml:space="preserve">VOTO a esta  SEGUNDA </w:t>
      </w:r>
      <w:r w:rsidR="00A04982">
        <w:rPr>
          <w:rFonts w:cs="Arial"/>
          <w:szCs w:val="24"/>
        </w:rPr>
        <w:t xml:space="preserve">y TERCERA </w:t>
      </w:r>
      <w:r w:rsidRPr="009A0D85">
        <w:rPr>
          <w:rFonts w:cs="Arial"/>
          <w:szCs w:val="24"/>
        </w:rPr>
        <w:t>CUESTI</w:t>
      </w:r>
      <w:r>
        <w:rPr>
          <w:rFonts w:cs="Arial"/>
          <w:szCs w:val="24"/>
        </w:rPr>
        <w:t>Ó</w:t>
      </w:r>
      <w:r w:rsidRPr="009A0D85">
        <w:rPr>
          <w:rFonts w:cs="Arial"/>
          <w:szCs w:val="24"/>
        </w:rPr>
        <w:t>N por la NEGATIVA.</w:t>
      </w:r>
    </w:p>
    <w:p w:rsidR="00A02A1B" w:rsidRDefault="00A02A1B" w:rsidP="0014758F">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y votan en igual sentido a esta</w:t>
      </w:r>
      <w:r w:rsidR="00865FE5">
        <w:rPr>
          <w:rFonts w:ascii="Arial" w:eastAsia="Calibri" w:hAnsi="Arial" w:cs="Arial"/>
          <w:sz w:val="24"/>
          <w:szCs w:val="24"/>
          <w:lang w:val="es-MX" w:eastAsia="en-US"/>
        </w:rPr>
        <w:t>s</w:t>
      </w:r>
      <w:r>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 y TERCERA CUESTIÓN.</w:t>
      </w:r>
    </w:p>
    <w:p w:rsidR="009A0D85" w:rsidRPr="00A02A1B" w:rsidRDefault="009A0D85" w:rsidP="0014758F">
      <w:pPr>
        <w:pStyle w:val="Textoindependiente2"/>
        <w:tabs>
          <w:tab w:val="left" w:pos="4680"/>
        </w:tabs>
        <w:spacing w:after="0" w:line="360" w:lineRule="auto"/>
        <w:ind w:firstLine="1985"/>
        <w:jc w:val="both"/>
        <w:rPr>
          <w:rFonts w:ascii="Arial" w:hAnsi="Arial" w:cs="Arial"/>
          <w:sz w:val="24"/>
          <w:szCs w:val="24"/>
        </w:rPr>
      </w:pPr>
    </w:p>
    <w:p w:rsidR="009A0D85" w:rsidRDefault="009A0D85" w:rsidP="0014758F">
      <w:pPr>
        <w:pStyle w:val="Textoindependiente"/>
        <w:rPr>
          <w:rFonts w:cs="Arial"/>
          <w:szCs w:val="24"/>
        </w:rPr>
      </w:pPr>
      <w:r w:rsidRPr="009A0D85">
        <w:rPr>
          <w:rFonts w:cs="Arial"/>
          <w:b/>
          <w:szCs w:val="24"/>
          <w:u w:val="single"/>
        </w:rPr>
        <w:t xml:space="preserve">A LA CUARTA </w:t>
      </w:r>
      <w:r w:rsidR="00914293" w:rsidRPr="006730F2">
        <w:rPr>
          <w:rFonts w:eastAsia="Calibri" w:cs="Arial"/>
          <w:b/>
          <w:bCs/>
          <w:szCs w:val="24"/>
          <w:u w:val="single"/>
        </w:rPr>
        <w:t>CUESTIÓN, el Dr. CARLOS ALBERTO COBO, dijo</w:t>
      </w:r>
      <w:r w:rsidR="00914293" w:rsidRPr="006730F2">
        <w:rPr>
          <w:rFonts w:eastAsia="Calibri" w:cs="Arial"/>
          <w:b/>
          <w:bCs/>
          <w:szCs w:val="24"/>
        </w:rPr>
        <w:t>:</w:t>
      </w:r>
      <w:r w:rsidRPr="009A0D85">
        <w:rPr>
          <w:rFonts w:cs="Arial"/>
          <w:szCs w:val="24"/>
        </w:rPr>
        <w:t xml:space="preserve"> Atento a la forma en que se ha votado las cuestiones anteriores</w:t>
      </w:r>
      <w:r w:rsidR="004432D0">
        <w:rPr>
          <w:rFonts w:cs="Arial"/>
          <w:szCs w:val="24"/>
        </w:rPr>
        <w:t>,</w:t>
      </w:r>
      <w:r w:rsidRPr="009A0D85">
        <w:rPr>
          <w:rFonts w:cs="Arial"/>
          <w:szCs w:val="24"/>
        </w:rPr>
        <w:t xml:space="preserve"> corresponde el rechazo del recurso de </w:t>
      </w:r>
      <w:r w:rsidR="00914293">
        <w:rPr>
          <w:rFonts w:cs="Arial"/>
          <w:szCs w:val="24"/>
        </w:rPr>
        <w:t>c</w:t>
      </w:r>
      <w:r w:rsidR="00A04982">
        <w:rPr>
          <w:rFonts w:cs="Arial"/>
          <w:szCs w:val="24"/>
        </w:rPr>
        <w:t xml:space="preserve">asación interpuesto. </w:t>
      </w:r>
      <w:r w:rsidRPr="009A0D85">
        <w:rPr>
          <w:rFonts w:cs="Arial"/>
          <w:szCs w:val="24"/>
        </w:rPr>
        <w:t xml:space="preserve">ASÍ LO VOTO. </w:t>
      </w:r>
    </w:p>
    <w:p w:rsidR="00A02A1B" w:rsidRDefault="00A02A1B" w:rsidP="0014758F">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CUARTA CUESTIÓN.</w:t>
      </w:r>
    </w:p>
    <w:p w:rsidR="00A02A1B" w:rsidRPr="00A02A1B" w:rsidRDefault="00A02A1B" w:rsidP="0014758F">
      <w:pPr>
        <w:pStyle w:val="Textoindependiente"/>
        <w:ind w:firstLine="1985"/>
        <w:rPr>
          <w:rFonts w:cs="Arial"/>
          <w:szCs w:val="24"/>
          <w:lang w:val="es-AR"/>
        </w:rPr>
      </w:pPr>
    </w:p>
    <w:p w:rsidR="009A0D85" w:rsidRPr="009A0D85" w:rsidRDefault="009A0D85" w:rsidP="0014758F">
      <w:pPr>
        <w:pStyle w:val="Textoindependiente"/>
        <w:rPr>
          <w:rFonts w:cs="Arial"/>
          <w:szCs w:val="24"/>
        </w:rPr>
      </w:pPr>
      <w:r w:rsidRPr="009A0D85">
        <w:rPr>
          <w:rFonts w:cs="Arial"/>
          <w:b/>
          <w:szCs w:val="24"/>
          <w:u w:val="single"/>
        </w:rPr>
        <w:t xml:space="preserve">A LA QUINTA </w:t>
      </w:r>
      <w:r w:rsidR="00914293" w:rsidRPr="006730F2">
        <w:rPr>
          <w:rFonts w:eastAsia="Calibri" w:cs="Arial"/>
          <w:b/>
          <w:bCs/>
          <w:szCs w:val="24"/>
          <w:u w:val="single"/>
        </w:rPr>
        <w:t>CUESTIÓN, el Dr. CARLOS ALBERTO COBO, dijo</w:t>
      </w:r>
      <w:r w:rsidR="00914293" w:rsidRPr="006730F2">
        <w:rPr>
          <w:rFonts w:eastAsia="Calibri" w:cs="Arial"/>
          <w:b/>
          <w:bCs/>
          <w:szCs w:val="24"/>
        </w:rPr>
        <w:t>:</w:t>
      </w:r>
      <w:r w:rsidR="00914293" w:rsidRPr="006730F2">
        <w:rPr>
          <w:rFonts w:eastAsia="Calibri" w:cs="Arial"/>
          <w:bCs/>
          <w:szCs w:val="24"/>
        </w:rPr>
        <w:t xml:space="preserve"> </w:t>
      </w:r>
      <w:r w:rsidRPr="009A0D85">
        <w:rPr>
          <w:rFonts w:cs="Arial"/>
          <w:szCs w:val="24"/>
        </w:rPr>
        <w:t>Costas a la vencida (art. 68 del CPC</w:t>
      </w:r>
      <w:r>
        <w:rPr>
          <w:rFonts w:cs="Arial"/>
          <w:szCs w:val="24"/>
        </w:rPr>
        <w:t xml:space="preserve"> y C</w:t>
      </w:r>
      <w:r w:rsidRPr="009A0D85">
        <w:rPr>
          <w:rFonts w:cs="Arial"/>
          <w:szCs w:val="24"/>
        </w:rPr>
        <w:t>). ASÍ LO VOTO.</w:t>
      </w:r>
    </w:p>
    <w:p w:rsidR="00271750" w:rsidRDefault="00271750" w:rsidP="0014758F">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sidR="00914293">
        <w:rPr>
          <w:rFonts w:ascii="Arial" w:eastAsia="Calibri" w:hAnsi="Arial" w:cs="Arial"/>
          <w:b/>
          <w:bCs/>
          <w:sz w:val="24"/>
          <w:szCs w:val="24"/>
          <w:lang w:eastAsia="en-US"/>
        </w:rPr>
        <w:t>QUINTA</w:t>
      </w:r>
      <w:r>
        <w:rPr>
          <w:rFonts w:ascii="Arial" w:eastAsia="Calibri" w:hAnsi="Arial" w:cs="Arial"/>
          <w:b/>
          <w:bCs/>
          <w:sz w:val="24"/>
          <w:szCs w:val="24"/>
          <w:lang w:eastAsia="en-US"/>
        </w:rPr>
        <w:t xml:space="preserve"> CUESTIÓN.</w:t>
      </w:r>
    </w:p>
    <w:p w:rsidR="00271750" w:rsidRDefault="00271750" w:rsidP="0014758F">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Con lo que se da por finalizado el acto, disponiendo los Sres. Ministros la Sentencia que va a continuación:</w:t>
      </w:r>
    </w:p>
    <w:p w:rsidR="00271750" w:rsidRDefault="00271750" w:rsidP="0014758F">
      <w:pPr>
        <w:widowControl w:val="0"/>
        <w:spacing w:after="0" w:line="360" w:lineRule="auto"/>
        <w:ind w:firstLine="1985"/>
        <w:jc w:val="both"/>
        <w:rPr>
          <w:rFonts w:ascii="Arial" w:eastAsia="Calibri" w:hAnsi="Arial" w:cs="Arial"/>
          <w:bCs/>
          <w:sz w:val="24"/>
          <w:szCs w:val="24"/>
          <w:lang w:eastAsia="en-US"/>
        </w:rPr>
      </w:pPr>
    </w:p>
    <w:p w:rsidR="00271750" w:rsidRDefault="00271750" w:rsidP="0014758F">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San Luis, </w:t>
      </w:r>
      <w:r w:rsidR="00771D94">
        <w:rPr>
          <w:rFonts w:ascii="Arial" w:eastAsia="MS Mincho" w:hAnsi="Arial" w:cs="Arial"/>
          <w:b/>
          <w:bCs/>
          <w:sz w:val="24"/>
          <w:szCs w:val="24"/>
        </w:rPr>
        <w:t>diecisiete</w:t>
      </w:r>
      <w:r>
        <w:rPr>
          <w:rFonts w:ascii="Arial" w:eastAsia="Calibri" w:hAnsi="Arial" w:cs="Arial"/>
          <w:b/>
          <w:bCs/>
          <w:sz w:val="24"/>
          <w:szCs w:val="24"/>
          <w:lang w:eastAsia="en-US"/>
        </w:rPr>
        <w:t xml:space="preserve"> de octubre de dos mil diecinueve.-</w:t>
      </w:r>
    </w:p>
    <w:p w:rsidR="00271750" w:rsidRDefault="00271750" w:rsidP="0014758F">
      <w:pPr>
        <w:widowControl w:val="0"/>
        <w:spacing w:after="0" w:line="360" w:lineRule="auto"/>
        <w:ind w:firstLine="1985"/>
        <w:jc w:val="both"/>
        <w:rPr>
          <w:rFonts w:ascii="Arial" w:hAnsi="Arial" w:cs="Arial"/>
          <w:sz w:val="24"/>
          <w:szCs w:val="24"/>
          <w:lang w:eastAsia="en-US"/>
        </w:rPr>
      </w:pPr>
      <w:r>
        <w:rPr>
          <w:rFonts w:ascii="Arial" w:eastAsia="Calibri" w:hAnsi="Arial" w:cs="Arial"/>
          <w:b/>
          <w:bCs/>
          <w:sz w:val="24"/>
          <w:szCs w:val="24"/>
          <w:u w:val="single"/>
          <w:lang w:eastAsia="en-US"/>
        </w:rPr>
        <w:t>Y VISTOS</w:t>
      </w:r>
      <w:r>
        <w:rPr>
          <w:rFonts w:ascii="Arial" w:eastAsia="Calibri" w:hAnsi="Arial" w:cs="Arial"/>
          <w:b/>
          <w:bCs/>
          <w:sz w:val="24"/>
          <w:szCs w:val="24"/>
          <w:lang w:eastAsia="en-US"/>
        </w:rPr>
        <w:t>:</w:t>
      </w:r>
      <w:r>
        <w:rPr>
          <w:rFonts w:ascii="Arial" w:eastAsia="Calibri" w:hAnsi="Arial" w:cs="Arial"/>
          <w:bCs/>
          <w:sz w:val="24"/>
          <w:szCs w:val="24"/>
          <w:lang w:eastAsia="en-US"/>
        </w:rPr>
        <w:t xml:space="preserve"> En mérito al resultado obtenido en la votación del Acuerdo que antecede, </w:t>
      </w:r>
      <w:r>
        <w:rPr>
          <w:rFonts w:ascii="Arial" w:eastAsia="Calibri" w:hAnsi="Arial" w:cs="Arial"/>
          <w:b/>
          <w:bCs/>
          <w:sz w:val="24"/>
          <w:szCs w:val="24"/>
          <w:u w:val="single"/>
          <w:lang w:eastAsia="en-US"/>
        </w:rPr>
        <w:t>SE RESUELVE:</w:t>
      </w:r>
      <w:r>
        <w:rPr>
          <w:rFonts w:ascii="Arial" w:eastAsia="Calibri" w:hAnsi="Arial" w:cs="Arial"/>
          <w:sz w:val="24"/>
          <w:szCs w:val="24"/>
          <w:lang w:eastAsia="en-US"/>
        </w:rPr>
        <w:t xml:space="preserve"> I) </w:t>
      </w:r>
      <w:r w:rsidR="00914293">
        <w:rPr>
          <w:rFonts w:ascii="Arial" w:eastAsia="Calibri" w:hAnsi="Arial" w:cs="Arial"/>
          <w:sz w:val="24"/>
          <w:szCs w:val="24"/>
          <w:lang w:eastAsia="en-US"/>
        </w:rPr>
        <w:t xml:space="preserve">Rechazar el </w:t>
      </w:r>
      <w:r w:rsidR="00914293" w:rsidRPr="009A0D85">
        <w:rPr>
          <w:rFonts w:ascii="Arial" w:hAnsi="Arial" w:cs="Arial"/>
          <w:sz w:val="24"/>
          <w:szCs w:val="24"/>
        </w:rPr>
        <w:t xml:space="preserve">recurso de </w:t>
      </w:r>
      <w:r w:rsidR="00914293">
        <w:rPr>
          <w:rFonts w:cs="Arial"/>
          <w:szCs w:val="24"/>
        </w:rPr>
        <w:t>c</w:t>
      </w:r>
      <w:r w:rsidR="00C64D66">
        <w:rPr>
          <w:rFonts w:ascii="Arial" w:hAnsi="Arial" w:cs="Arial"/>
          <w:sz w:val="24"/>
          <w:szCs w:val="24"/>
        </w:rPr>
        <w:t>asación interpuesto</w:t>
      </w:r>
      <w:r>
        <w:rPr>
          <w:rFonts w:ascii="Arial" w:eastAsia="Calibri" w:hAnsi="Arial" w:cs="Arial"/>
          <w:sz w:val="24"/>
          <w:szCs w:val="24"/>
          <w:lang w:eastAsia="en-US"/>
        </w:rPr>
        <w:t>.</w:t>
      </w:r>
      <w:r>
        <w:rPr>
          <w:rFonts w:ascii="Arial" w:hAnsi="Arial" w:cs="Arial"/>
          <w:sz w:val="24"/>
          <w:szCs w:val="24"/>
          <w:lang w:eastAsia="en-US"/>
        </w:rPr>
        <w:t xml:space="preserve"> </w:t>
      </w:r>
    </w:p>
    <w:p w:rsidR="00271750" w:rsidRDefault="00271750" w:rsidP="0014758F">
      <w:pPr>
        <w:widowControl w:val="0"/>
        <w:spacing w:after="0" w:line="360" w:lineRule="auto"/>
        <w:ind w:firstLine="1985"/>
        <w:jc w:val="both"/>
        <w:rPr>
          <w:rFonts w:ascii="Arial" w:hAnsi="Arial" w:cs="Arial"/>
          <w:sz w:val="24"/>
          <w:szCs w:val="24"/>
        </w:rPr>
      </w:pPr>
      <w:r>
        <w:rPr>
          <w:rFonts w:ascii="Arial" w:hAnsi="Arial" w:cs="Arial"/>
          <w:sz w:val="24"/>
          <w:szCs w:val="24"/>
          <w:lang w:eastAsia="en-US"/>
        </w:rPr>
        <w:lastRenderedPageBreak/>
        <w:t>II</w:t>
      </w:r>
      <w:r w:rsidRPr="00A517E7">
        <w:rPr>
          <w:rFonts w:ascii="Arial" w:hAnsi="Arial" w:cs="Arial"/>
          <w:sz w:val="24"/>
          <w:szCs w:val="24"/>
          <w:lang w:eastAsia="en-US"/>
        </w:rPr>
        <w:t>)</w:t>
      </w:r>
      <w:r w:rsidRPr="009F2112">
        <w:rPr>
          <w:rFonts w:ascii="Arial" w:hAnsi="Arial" w:cs="Arial"/>
          <w:sz w:val="24"/>
          <w:szCs w:val="24"/>
        </w:rPr>
        <w:t xml:space="preserve"> </w:t>
      </w:r>
      <w:r w:rsidR="00914293">
        <w:rPr>
          <w:rFonts w:ascii="Arial" w:hAnsi="Arial" w:cs="Arial"/>
          <w:sz w:val="24"/>
          <w:szCs w:val="24"/>
        </w:rPr>
        <w:t>Costas a la vencida.</w:t>
      </w:r>
    </w:p>
    <w:p w:rsidR="00271750" w:rsidRDefault="00271750" w:rsidP="0014758F">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REGÍSTRESE y NOTIFÍQUESE.</w:t>
      </w:r>
    </w:p>
    <w:p w:rsidR="00271750" w:rsidRDefault="00271750" w:rsidP="0014758F">
      <w:pPr>
        <w:widowControl w:val="0"/>
        <w:spacing w:after="0" w:line="360" w:lineRule="auto"/>
        <w:ind w:firstLine="1985"/>
        <w:jc w:val="both"/>
        <w:rPr>
          <w:rFonts w:ascii="Arial" w:eastAsia="Calibri" w:hAnsi="Arial" w:cs="Arial"/>
          <w:bCs/>
          <w:sz w:val="24"/>
          <w:szCs w:val="24"/>
          <w:lang w:eastAsia="en-US"/>
        </w:rPr>
      </w:pPr>
    </w:p>
    <w:p w:rsidR="00271750" w:rsidRDefault="00271750" w:rsidP="0014758F">
      <w:pPr>
        <w:pBdr>
          <w:top w:val="single" w:sz="4" w:space="2" w:color="auto"/>
        </w:pBdr>
        <w:spacing w:after="0" w:line="240" w:lineRule="auto"/>
        <w:jc w:val="both"/>
        <w:rPr>
          <w:rFonts w:ascii="Times New Roman" w:eastAsia="Calibri" w:hAnsi="Times New Roman" w:cs="Times New Roman"/>
          <w:sz w:val="16"/>
          <w:szCs w:val="16"/>
          <w:lang w:eastAsia="en-US"/>
        </w:rPr>
      </w:pPr>
    </w:p>
    <w:p w:rsidR="00271750" w:rsidRDefault="00271750" w:rsidP="0014758F">
      <w:pPr>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Pr>
          <w:rFonts w:ascii="Times New Roman" w:eastAsia="Calibri" w:hAnsi="Times New Roman" w:cs="Times New Roman"/>
          <w:i/>
          <w:sz w:val="16"/>
          <w:szCs w:val="16"/>
          <w:lang w:eastAsia="en-US"/>
        </w:rPr>
        <w:t>Dres</w:t>
      </w:r>
      <w:proofErr w:type="spellEnd"/>
      <w:r>
        <w:rPr>
          <w:rFonts w:ascii="Times New Roman" w:eastAsia="Calibri" w:hAnsi="Times New Roman" w:cs="Times New Roman"/>
          <w:i/>
          <w:sz w:val="16"/>
          <w:szCs w:val="16"/>
          <w:lang w:eastAsia="en-US"/>
        </w:rPr>
        <w:t>. CARLOS ALBERTO COBO, MARTHA RAQUEL CORVALÁN y LILIA ANA NOVILLO, en el sistema de Gestión Informático del Poder Judicial de la Provincia de San Luis.-</w:t>
      </w:r>
    </w:p>
    <w:p w:rsidR="0014758F" w:rsidRPr="009A0D85" w:rsidRDefault="0014758F" w:rsidP="0014758F">
      <w:pPr>
        <w:spacing w:after="0" w:line="360" w:lineRule="auto"/>
        <w:ind w:firstLine="1985"/>
        <w:jc w:val="both"/>
        <w:rPr>
          <w:rFonts w:ascii="Arial" w:hAnsi="Arial" w:cs="Arial"/>
          <w:sz w:val="24"/>
          <w:szCs w:val="24"/>
        </w:rPr>
      </w:pPr>
    </w:p>
    <w:sectPr w:rsidR="0014758F" w:rsidRPr="009A0D85" w:rsidSect="0014758F">
      <w:footerReference w:type="default" r:id="rId7"/>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B43" w:rsidRDefault="00D81B43" w:rsidP="009A0D85">
      <w:pPr>
        <w:spacing w:after="0" w:line="240" w:lineRule="auto"/>
      </w:pPr>
      <w:r>
        <w:separator/>
      </w:r>
    </w:p>
  </w:endnote>
  <w:endnote w:type="continuationSeparator" w:id="1">
    <w:p w:rsidR="00D81B43" w:rsidRDefault="00D81B43" w:rsidP="009A0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6361"/>
      <w:docPartObj>
        <w:docPartGallery w:val="Page Numbers (Bottom of Page)"/>
        <w:docPartUnique/>
      </w:docPartObj>
    </w:sdtPr>
    <w:sdtContent>
      <w:p w:rsidR="00D81B43" w:rsidRDefault="00985BAE">
        <w:pPr>
          <w:pStyle w:val="Piedepgina"/>
          <w:jc w:val="right"/>
        </w:pPr>
        <w:r w:rsidRPr="009A0D85">
          <w:rPr>
            <w:rFonts w:ascii="Arial" w:hAnsi="Arial" w:cs="Arial"/>
            <w:sz w:val="24"/>
            <w:szCs w:val="24"/>
          </w:rPr>
          <w:fldChar w:fldCharType="begin"/>
        </w:r>
        <w:r w:rsidR="00D81B43" w:rsidRPr="009A0D85">
          <w:rPr>
            <w:rFonts w:ascii="Arial" w:hAnsi="Arial" w:cs="Arial"/>
            <w:sz w:val="24"/>
            <w:szCs w:val="24"/>
          </w:rPr>
          <w:instrText xml:space="preserve"> PAGE   \* MERGEFORMAT </w:instrText>
        </w:r>
        <w:r w:rsidRPr="009A0D85">
          <w:rPr>
            <w:rFonts w:ascii="Arial" w:hAnsi="Arial" w:cs="Arial"/>
            <w:sz w:val="24"/>
            <w:szCs w:val="24"/>
          </w:rPr>
          <w:fldChar w:fldCharType="separate"/>
        </w:r>
        <w:r w:rsidR="00C64D66">
          <w:rPr>
            <w:rFonts w:ascii="Arial" w:hAnsi="Arial" w:cs="Arial"/>
            <w:noProof/>
            <w:sz w:val="24"/>
            <w:szCs w:val="24"/>
          </w:rPr>
          <w:t>7</w:t>
        </w:r>
        <w:r w:rsidRPr="009A0D8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B43" w:rsidRDefault="00D81B43" w:rsidP="009A0D85">
      <w:pPr>
        <w:spacing w:after="0" w:line="240" w:lineRule="auto"/>
      </w:pPr>
      <w:r>
        <w:separator/>
      </w:r>
    </w:p>
  </w:footnote>
  <w:footnote w:type="continuationSeparator" w:id="1">
    <w:p w:rsidR="00D81B43" w:rsidRDefault="00D81B43" w:rsidP="009A0D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A0D85"/>
    <w:rsid w:val="00055616"/>
    <w:rsid w:val="0014758F"/>
    <w:rsid w:val="00265AE0"/>
    <w:rsid w:val="00271750"/>
    <w:rsid w:val="004432D0"/>
    <w:rsid w:val="00771D94"/>
    <w:rsid w:val="00781645"/>
    <w:rsid w:val="008219D5"/>
    <w:rsid w:val="00865FE5"/>
    <w:rsid w:val="00914293"/>
    <w:rsid w:val="00985BAE"/>
    <w:rsid w:val="009A0D85"/>
    <w:rsid w:val="00A02A1B"/>
    <w:rsid w:val="00A04982"/>
    <w:rsid w:val="00A0777C"/>
    <w:rsid w:val="00C64D66"/>
    <w:rsid w:val="00D16C6A"/>
    <w:rsid w:val="00D81B43"/>
    <w:rsid w:val="00EE63D5"/>
    <w:rsid w:val="00F275E6"/>
    <w:rsid w:val="00F9112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A0D85"/>
    <w:pPr>
      <w:autoSpaceDE w:val="0"/>
      <w:autoSpaceDN w:val="0"/>
      <w:adjustRightInd w:val="0"/>
      <w:spacing w:after="0" w:line="240" w:lineRule="auto"/>
    </w:pPr>
    <w:rPr>
      <w:rFonts w:ascii="Arial" w:eastAsiaTheme="minorHAnsi" w:hAnsi="Arial" w:cs="Arial"/>
      <w:color w:val="000000"/>
      <w:sz w:val="24"/>
      <w:szCs w:val="24"/>
      <w:lang w:val="es-ES" w:eastAsia="en-US"/>
    </w:rPr>
  </w:style>
  <w:style w:type="paragraph" w:styleId="Textoindependiente">
    <w:name w:val="Body Text"/>
    <w:basedOn w:val="Normal"/>
    <w:link w:val="TextoindependienteCar"/>
    <w:rsid w:val="009A0D85"/>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9A0D85"/>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9A0D85"/>
    <w:pPr>
      <w:spacing w:after="120" w:line="480" w:lineRule="auto"/>
    </w:pPr>
    <w:rPr>
      <w:rFonts w:eastAsiaTheme="minorHAnsi"/>
      <w:lang w:eastAsia="en-US"/>
    </w:rPr>
  </w:style>
  <w:style w:type="character" w:customStyle="1" w:styleId="Textoindependiente2Car">
    <w:name w:val="Texto independiente 2 Car"/>
    <w:basedOn w:val="Fuentedeprrafopredeter"/>
    <w:link w:val="Textoindependiente2"/>
    <w:uiPriority w:val="99"/>
    <w:rsid w:val="009A0D85"/>
    <w:rPr>
      <w:rFonts w:eastAsiaTheme="minorHAnsi"/>
      <w:lang w:eastAsia="en-US"/>
    </w:rPr>
  </w:style>
  <w:style w:type="paragraph" w:styleId="Sangradetextonormal">
    <w:name w:val="Body Text Indent"/>
    <w:basedOn w:val="Normal"/>
    <w:link w:val="SangradetextonormalCar"/>
    <w:uiPriority w:val="99"/>
    <w:unhideWhenUsed/>
    <w:rsid w:val="009A0D85"/>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9A0D85"/>
    <w:rPr>
      <w:rFonts w:ascii="Calibri" w:eastAsia="Calibri" w:hAnsi="Calibri" w:cs="Times New Roman"/>
      <w:lang w:eastAsia="en-US"/>
    </w:rPr>
  </w:style>
  <w:style w:type="character" w:styleId="Hipervnculo">
    <w:name w:val="Hyperlink"/>
    <w:unhideWhenUsed/>
    <w:rsid w:val="009A0D85"/>
    <w:rPr>
      <w:color w:val="0000FF"/>
      <w:u w:val="single"/>
    </w:rPr>
  </w:style>
  <w:style w:type="paragraph" w:styleId="Encabezado">
    <w:name w:val="header"/>
    <w:basedOn w:val="Normal"/>
    <w:link w:val="EncabezadoCar"/>
    <w:uiPriority w:val="99"/>
    <w:semiHidden/>
    <w:unhideWhenUsed/>
    <w:rsid w:val="009A0D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A0D85"/>
  </w:style>
  <w:style w:type="paragraph" w:styleId="Piedepgina">
    <w:name w:val="footer"/>
    <w:basedOn w:val="Normal"/>
    <w:link w:val="PiedepginaCar"/>
    <w:uiPriority w:val="99"/>
    <w:unhideWhenUsed/>
    <w:rsid w:val="009A0D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0D85"/>
  </w:style>
  <w:style w:type="paragraph" w:styleId="Textodeglobo">
    <w:name w:val="Balloon Text"/>
    <w:basedOn w:val="Normal"/>
    <w:link w:val="TextodegloboCar"/>
    <w:uiPriority w:val="99"/>
    <w:semiHidden/>
    <w:unhideWhenUsed/>
    <w:rsid w:val="00443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32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rmacionlegal.com.ar/maf/app/document?&amp;src=laley4&amp;srguid=i0ad6adc6000001634fb7d70f46533bef&amp;docguid=i4A7AFDFC46B64D1AB64C09D174F4E808&amp;hitguid=i4A7AFDFC46B64D1AB64C09D174F4E808&amp;tocguid=&amp;spos=6&amp;epos=6&amp;td=8&amp;ao=i0ADFAB8AC74B1D1F81C755DF29AAD1D3&amp;searchFrom=&amp;savedSearch=false&amp;context=128&amp;crumb-action=append&am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2054</Words>
  <Characters>11303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17</cp:revision>
  <cp:lastPrinted>2019-09-25T13:40:00Z</cp:lastPrinted>
  <dcterms:created xsi:type="dcterms:W3CDTF">2019-09-25T12:11:00Z</dcterms:created>
  <dcterms:modified xsi:type="dcterms:W3CDTF">2019-10-17T11:52:00Z</dcterms:modified>
</cp:coreProperties>
</file>